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67B903C"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w:t>
      </w:r>
      <w:r w:rsidR="00CD1655">
        <w:rPr>
          <w:bCs/>
          <w:noProof w:val="0"/>
          <w:sz w:val="24"/>
          <w:szCs w:val="24"/>
        </w:rPr>
        <w:t>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CD1655">
        <w:rPr>
          <w:bCs/>
          <w:noProof w:val="0"/>
          <w:sz w:val="24"/>
          <w:szCs w:val="24"/>
        </w:rPr>
        <w:t>5</w:t>
      </w:r>
      <w:r w:rsidR="005B4423">
        <w:rPr>
          <w:bCs/>
          <w:noProof w:val="0"/>
          <w:sz w:val="24"/>
          <w:szCs w:val="24"/>
        </w:rPr>
        <w:t>00330</w:t>
      </w:r>
    </w:p>
    <w:p w14:paraId="3723E1D3" w14:textId="61650221" w:rsidR="005432D9" w:rsidRPr="00465587" w:rsidRDefault="00CD1655" w:rsidP="00531EC4">
      <w:pPr>
        <w:pStyle w:val="Header"/>
        <w:tabs>
          <w:tab w:val="right" w:pos="9639"/>
        </w:tabs>
        <w:jc w:val="both"/>
        <w:rPr>
          <w:rFonts w:eastAsia="SimSun"/>
          <w:bCs/>
          <w:sz w:val="24"/>
          <w:szCs w:val="24"/>
          <w:lang w:eastAsia="zh-CN"/>
        </w:rPr>
      </w:pPr>
      <w:r>
        <w:rPr>
          <w:rFonts w:eastAsia="SimSun"/>
          <w:bCs/>
          <w:sz w:val="24"/>
          <w:szCs w:val="24"/>
          <w:lang w:eastAsia="zh-CN"/>
        </w:rPr>
        <w:t>Athens, Greece</w:t>
      </w:r>
      <w:r w:rsidR="00A320DA" w:rsidRPr="00A320DA">
        <w:rPr>
          <w:rFonts w:eastAsia="SimSun"/>
          <w:bCs/>
          <w:sz w:val="24"/>
          <w:szCs w:val="24"/>
          <w:lang w:eastAsia="zh-CN"/>
        </w:rPr>
        <w:t xml:space="preserve">, </w:t>
      </w:r>
      <w:r w:rsidR="00707410">
        <w:rPr>
          <w:rFonts w:eastAsia="SimSun"/>
          <w:bCs/>
          <w:sz w:val="24"/>
          <w:szCs w:val="24"/>
          <w:lang w:eastAsia="zh-CN"/>
        </w:rPr>
        <w:t>1</w:t>
      </w:r>
      <w:r>
        <w:rPr>
          <w:rFonts w:eastAsia="SimSun"/>
          <w:bCs/>
          <w:sz w:val="24"/>
          <w:szCs w:val="24"/>
          <w:lang w:eastAsia="zh-CN"/>
        </w:rPr>
        <w:t>7</w:t>
      </w:r>
      <w:r w:rsidR="00BC6E74" w:rsidRPr="00BC6E74">
        <w:rPr>
          <w:rFonts w:eastAsia="SimSun"/>
          <w:bCs/>
          <w:sz w:val="24"/>
          <w:szCs w:val="24"/>
          <w:vertAlign w:val="superscript"/>
          <w:lang w:eastAsia="zh-CN"/>
        </w:rPr>
        <w:t>th</w:t>
      </w:r>
      <w:r w:rsidR="00A320DA" w:rsidRPr="00A320DA">
        <w:rPr>
          <w:rFonts w:eastAsia="SimSun"/>
          <w:bCs/>
          <w:sz w:val="24"/>
          <w:szCs w:val="24"/>
          <w:lang w:eastAsia="zh-CN"/>
        </w:rPr>
        <w:t xml:space="preserve"> – </w:t>
      </w:r>
      <w:r w:rsidR="009F7805">
        <w:rPr>
          <w:rFonts w:eastAsia="SimSun"/>
          <w:bCs/>
          <w:sz w:val="24"/>
          <w:szCs w:val="24"/>
          <w:lang w:eastAsia="zh-CN"/>
        </w:rPr>
        <w:t>2</w:t>
      </w:r>
      <w:r>
        <w:rPr>
          <w:rFonts w:eastAsia="SimSun"/>
          <w:bCs/>
          <w:sz w:val="24"/>
          <w:szCs w:val="24"/>
          <w:lang w:eastAsia="zh-CN"/>
        </w:rPr>
        <w:t>1</w:t>
      </w:r>
      <w:r w:rsidRPr="00CD1655">
        <w:rPr>
          <w:rFonts w:eastAsia="SimSun"/>
          <w:bCs/>
          <w:sz w:val="24"/>
          <w:szCs w:val="24"/>
          <w:vertAlign w:val="superscript"/>
          <w:lang w:eastAsia="zh-CN"/>
        </w:rPr>
        <w:t>st</w:t>
      </w:r>
      <w:r>
        <w:rPr>
          <w:rFonts w:eastAsia="SimSun"/>
          <w:bCs/>
          <w:sz w:val="24"/>
          <w:szCs w:val="24"/>
          <w:lang w:eastAsia="zh-CN"/>
        </w:rPr>
        <w:t xml:space="preserve"> </w:t>
      </w:r>
      <w:r w:rsidR="00BC6E74">
        <w:rPr>
          <w:rFonts w:eastAsia="SimSun"/>
          <w:bCs/>
          <w:sz w:val="24"/>
          <w:szCs w:val="24"/>
          <w:lang w:eastAsia="zh-CN"/>
        </w:rPr>
        <w:t>of</w:t>
      </w:r>
      <w:r w:rsidR="00A320DA" w:rsidRPr="00A320DA">
        <w:rPr>
          <w:rFonts w:eastAsia="SimSun"/>
          <w:bCs/>
          <w:sz w:val="24"/>
          <w:szCs w:val="24"/>
          <w:lang w:eastAsia="zh-CN"/>
        </w:rPr>
        <w:t xml:space="preserve"> </w:t>
      </w:r>
      <w:r>
        <w:rPr>
          <w:rFonts w:eastAsia="SimSun"/>
          <w:bCs/>
          <w:sz w:val="24"/>
          <w:szCs w:val="24"/>
          <w:lang w:eastAsia="zh-CN"/>
        </w:rPr>
        <w:t>February</w:t>
      </w:r>
      <w:r w:rsidR="00A320DA" w:rsidRPr="00A320DA">
        <w:rPr>
          <w:rFonts w:eastAsia="SimSun"/>
          <w:bCs/>
          <w:sz w:val="24"/>
          <w:szCs w:val="24"/>
          <w:lang w:eastAsia="zh-CN"/>
        </w:rPr>
        <w:t xml:space="preserve"> 202</w:t>
      </w:r>
      <w:r>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5E7D6EFC"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CD1655">
        <w:rPr>
          <w:rFonts w:cs="Arial"/>
          <w:b/>
          <w:bCs/>
          <w:sz w:val="24"/>
          <w:lang w:eastAsia="ja-JP"/>
        </w:rPr>
        <w:t>8</w:t>
      </w:r>
      <w:r w:rsidR="00D65F19">
        <w:rPr>
          <w:rFonts w:cs="Arial"/>
          <w:b/>
          <w:bCs/>
          <w:sz w:val="24"/>
          <w:lang w:eastAsia="ja-JP"/>
        </w:rPr>
        <w:t>.</w:t>
      </w:r>
      <w:r w:rsidR="00CD1655">
        <w:rPr>
          <w:rFonts w:cs="Arial"/>
          <w:b/>
          <w:bCs/>
          <w:sz w:val="24"/>
          <w:lang w:eastAsia="ja-JP"/>
        </w:rPr>
        <w:t>8</w:t>
      </w:r>
      <w:r w:rsidR="00D65F19">
        <w:rPr>
          <w:rFonts w:cs="Arial"/>
          <w:b/>
          <w:bCs/>
          <w:sz w:val="24"/>
          <w:lang w:eastAsia="ja-JP"/>
        </w:rPr>
        <w:t>.</w:t>
      </w:r>
      <w:r w:rsidR="00CD1655">
        <w:rPr>
          <w:rFonts w:cs="Arial"/>
          <w:b/>
          <w:bCs/>
          <w:sz w:val="24"/>
          <w:lang w:eastAsia="ja-JP"/>
        </w:rPr>
        <w:t>6</w:t>
      </w:r>
    </w:p>
    <w:p w14:paraId="73188B46" w14:textId="6998B9EA"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CD0A4F">
        <w:rPr>
          <w:rFonts w:ascii="Arial" w:hAnsi="Arial" w:cs="Arial"/>
          <w:b/>
          <w:bCs/>
          <w:sz w:val="24"/>
        </w:rPr>
        <w:t>, Nokia Shanghai Bell</w:t>
      </w:r>
    </w:p>
    <w:p w14:paraId="553D264F" w14:textId="7EA666D6"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CD1655">
        <w:rPr>
          <w:rFonts w:ascii="Arial" w:hAnsi="Arial" w:cs="Arial"/>
          <w:b/>
          <w:bCs/>
          <w:sz w:val="24"/>
        </w:rPr>
        <w:t>On E-UTRAN TN to NR NTN enhancements</w:t>
      </w:r>
    </w:p>
    <w:p w14:paraId="25F387E8" w14:textId="250E42B8"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D1655" w:rsidRPr="00CD1655">
        <w:rPr>
          <w:rFonts w:ascii="Arial" w:hAnsi="Arial" w:cs="Arial"/>
          <w:b/>
          <w:bCs/>
          <w:sz w:val="24"/>
        </w:rPr>
        <w:t>LTE_TN_NR_NTN_mob</w:t>
      </w:r>
      <w:proofErr w:type="spellEnd"/>
      <w:r w:rsidR="00CD1655">
        <w:rPr>
          <w:rFonts w:ascii="Arial" w:hAnsi="Arial" w:cs="Arial"/>
          <w:b/>
          <w:bCs/>
          <w:sz w:val="24"/>
        </w:rPr>
        <w:t>/</w:t>
      </w:r>
      <w:proofErr w:type="spellStart"/>
      <w:r w:rsidR="00D65F19" w:rsidRPr="00D65F19">
        <w:rPr>
          <w:rFonts w:ascii="Arial" w:hAnsi="Arial" w:cs="Arial"/>
          <w:b/>
          <w:bCs/>
          <w:sz w:val="24"/>
        </w:rPr>
        <w:t>NR_NTN_enh</w:t>
      </w:r>
      <w:proofErr w:type="spellEnd"/>
      <w:r w:rsidR="00D65F19" w:rsidRPr="00D65F19">
        <w:rPr>
          <w:rFonts w:ascii="Arial" w:hAnsi="Arial" w:cs="Arial"/>
          <w:b/>
          <w:bCs/>
          <w:sz w:val="24"/>
        </w:rPr>
        <w:t xml:space="preserve">-Core </w:t>
      </w:r>
      <w:r w:rsidR="00420AD1" w:rsidRPr="00451A30">
        <w:rPr>
          <w:rFonts w:ascii="Arial" w:hAnsi="Arial" w:cs="Arial"/>
          <w:b/>
          <w:bCs/>
          <w:sz w:val="24"/>
        </w:rPr>
        <w:t>- Release 1</w:t>
      </w:r>
      <w:r w:rsidR="00CD1655">
        <w:rPr>
          <w:rFonts w:ascii="Arial" w:hAnsi="Arial" w:cs="Arial"/>
          <w:b/>
          <w:bCs/>
          <w:sz w:val="24"/>
        </w:rPr>
        <w:t>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7954B9F2" w14:textId="4821E155" w:rsidR="0003034D" w:rsidRDefault="0003034D" w:rsidP="0082367D">
      <w:r>
        <w:t>At RAN#106 the following (</w:t>
      </w:r>
      <w:r w:rsidRPr="00AE3105">
        <w:rPr>
          <w:highlight w:val="green"/>
        </w:rPr>
        <w:t>highlighted</w:t>
      </w:r>
      <w:r>
        <w:t xml:space="preserve">) changes to LTE TN to NR NTN objective have been approved </w:t>
      </w:r>
      <w:r>
        <w:fldChar w:fldCharType="begin"/>
      </w:r>
      <w:r>
        <w:instrText xml:space="preserve"> REF _Ref185347846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03034D" w14:paraId="79B85646" w14:textId="77777777" w:rsidTr="0003034D">
        <w:tc>
          <w:tcPr>
            <w:tcW w:w="9629" w:type="dxa"/>
          </w:tcPr>
          <w:p w14:paraId="2D271866" w14:textId="77777777" w:rsidR="0003034D" w:rsidRPr="0003034D" w:rsidRDefault="0003034D" w:rsidP="0003034D">
            <w:pPr>
              <w:keepNext/>
              <w:keepLines/>
              <w:overflowPunct w:val="0"/>
              <w:autoSpaceDE w:val="0"/>
              <w:autoSpaceDN w:val="0"/>
              <w:adjustRightInd w:val="0"/>
              <w:spacing w:before="120"/>
              <w:ind w:left="1134" w:hanging="1134"/>
              <w:textAlignment w:val="baseline"/>
              <w:outlineLvl w:val="2"/>
              <w:rPr>
                <w:rFonts w:ascii="Arial" w:eastAsia="SimSun" w:hAnsi="Arial"/>
                <w:color w:val="0000FF"/>
                <w:sz w:val="28"/>
                <w:lang w:eastAsia="en-GB"/>
              </w:rPr>
            </w:pPr>
            <w:r w:rsidRPr="0003034D">
              <w:rPr>
                <w:rFonts w:ascii="Arial" w:eastAsia="SimSun" w:hAnsi="Arial"/>
                <w:color w:val="0000FF"/>
                <w:sz w:val="28"/>
                <w:lang w:eastAsia="en-GB"/>
              </w:rPr>
              <w:t>4.1</w:t>
            </w:r>
            <w:r w:rsidRPr="0003034D">
              <w:rPr>
                <w:rFonts w:ascii="Arial" w:eastAsia="SimSun" w:hAnsi="Arial"/>
                <w:color w:val="0000FF"/>
                <w:sz w:val="28"/>
                <w:lang w:eastAsia="en-GB"/>
              </w:rPr>
              <w:tab/>
              <w:t>Objective of SI or Core part WI or Testing part WI</w:t>
            </w:r>
          </w:p>
          <w:p w14:paraId="4FDFCD68" w14:textId="77777777" w:rsidR="0003034D" w:rsidRPr="0003034D" w:rsidRDefault="0003034D" w:rsidP="0003034D">
            <w:pPr>
              <w:overflowPunct w:val="0"/>
              <w:autoSpaceDE w:val="0"/>
              <w:autoSpaceDN w:val="0"/>
              <w:adjustRightInd w:val="0"/>
              <w:spacing w:after="0" w:line="276" w:lineRule="auto"/>
              <w:textAlignment w:val="baseline"/>
              <w:rPr>
                <w:rFonts w:eastAsia="SimSun"/>
                <w:bCs/>
                <w:lang w:eastAsia="en-GB"/>
              </w:rPr>
            </w:pPr>
            <w:r w:rsidRPr="0003034D">
              <w:rPr>
                <w:rFonts w:eastAsia="SimSun"/>
                <w:bCs/>
                <w:lang w:eastAsia="en-GB"/>
              </w:rPr>
              <w:t xml:space="preserve">The work item aims at specifying </w:t>
            </w:r>
            <w:r w:rsidRPr="0003034D">
              <w:rPr>
                <w:rFonts w:eastAsia="SimSun"/>
                <w:lang w:eastAsia="en-GB"/>
              </w:rPr>
              <w:t xml:space="preserve">IDLE </w:t>
            </w:r>
            <w:r w:rsidRPr="0003034D">
              <w:rPr>
                <w:rFonts w:eastAsia="SimSun" w:hint="eastAsia"/>
                <w:highlight w:val="green"/>
                <w:lang w:eastAsia="zh-CN"/>
              </w:rPr>
              <w:t>and CONNECTED</w:t>
            </w:r>
            <w:r w:rsidRPr="0003034D">
              <w:rPr>
                <w:rFonts w:eastAsia="SimSun" w:hint="eastAsia"/>
                <w:lang w:eastAsia="zh-CN"/>
              </w:rPr>
              <w:t xml:space="preserve"> </w:t>
            </w:r>
            <w:r w:rsidRPr="0003034D">
              <w:rPr>
                <w:rFonts w:eastAsia="SimSun"/>
                <w:lang w:eastAsia="en-GB"/>
              </w:rPr>
              <w:t>mode mobility from E-UTRA TN to NR NTN</w:t>
            </w:r>
            <w:r w:rsidRPr="0003034D">
              <w:rPr>
                <w:rFonts w:eastAsia="SimSun"/>
                <w:bCs/>
                <w:lang w:eastAsia="en-GB"/>
              </w:rPr>
              <w:t xml:space="preserve"> with the following assumptions:</w:t>
            </w:r>
          </w:p>
          <w:p w14:paraId="57D7EC24" w14:textId="77777777" w:rsidR="0003034D" w:rsidRPr="0003034D" w:rsidRDefault="0003034D" w:rsidP="0003034D">
            <w:pPr>
              <w:numPr>
                <w:ilvl w:val="0"/>
                <w:numId w:val="36"/>
              </w:numPr>
              <w:overflowPunct w:val="0"/>
              <w:autoSpaceDE w:val="0"/>
              <w:autoSpaceDN w:val="0"/>
              <w:adjustRightInd w:val="0"/>
              <w:spacing w:after="0" w:line="276" w:lineRule="auto"/>
              <w:textAlignment w:val="baseline"/>
              <w:rPr>
                <w:rFonts w:eastAsia="SimSun"/>
                <w:bCs/>
                <w:lang w:eastAsia="en-GB"/>
              </w:rPr>
            </w:pPr>
            <w:r w:rsidRPr="0003034D">
              <w:rPr>
                <w:rFonts w:eastAsia="SimSun"/>
                <w:bCs/>
                <w:lang w:eastAsia="en-GB"/>
              </w:rPr>
              <w:t xml:space="preserve">GSO (Geo Synchronous Orbit) and NGSO (Non-Geo Synchronous Orbit). </w:t>
            </w:r>
          </w:p>
          <w:p w14:paraId="118B075C" w14:textId="77777777" w:rsidR="0003034D" w:rsidRPr="0003034D" w:rsidRDefault="0003034D" w:rsidP="0003034D">
            <w:pPr>
              <w:numPr>
                <w:ilvl w:val="1"/>
                <w:numId w:val="36"/>
              </w:numPr>
              <w:overflowPunct w:val="0"/>
              <w:autoSpaceDE w:val="0"/>
              <w:autoSpaceDN w:val="0"/>
              <w:adjustRightInd w:val="0"/>
              <w:spacing w:after="0" w:line="276" w:lineRule="auto"/>
              <w:textAlignment w:val="baseline"/>
              <w:rPr>
                <w:rFonts w:eastAsia="SimSun"/>
                <w:bCs/>
                <w:lang w:eastAsia="en-GB"/>
              </w:rPr>
            </w:pPr>
            <w:r w:rsidRPr="0003034D">
              <w:rPr>
                <w:rFonts w:eastAsia="SimSun"/>
                <w:bCs/>
                <w:lang w:eastAsia="en-GB"/>
              </w:rPr>
              <w:t>NGSO includes Low Earth Orbit (LEO) and Medium Earth Orbit (MEO).</w:t>
            </w:r>
          </w:p>
          <w:p w14:paraId="1DA60594" w14:textId="77777777" w:rsidR="0003034D" w:rsidRPr="0003034D" w:rsidRDefault="0003034D" w:rsidP="0003034D">
            <w:pPr>
              <w:numPr>
                <w:ilvl w:val="0"/>
                <w:numId w:val="36"/>
              </w:numPr>
              <w:overflowPunct w:val="0"/>
              <w:autoSpaceDE w:val="0"/>
              <w:autoSpaceDN w:val="0"/>
              <w:adjustRightInd w:val="0"/>
              <w:spacing w:after="0" w:line="276" w:lineRule="auto"/>
              <w:textAlignment w:val="baseline"/>
              <w:rPr>
                <w:rFonts w:eastAsia="SimSun"/>
                <w:bCs/>
                <w:lang w:eastAsia="en-GB"/>
              </w:rPr>
            </w:pPr>
            <w:r w:rsidRPr="0003034D">
              <w:rPr>
                <w:rFonts w:eastAsia="SimSun"/>
                <w:bCs/>
                <w:lang w:eastAsia="en-GB"/>
              </w:rPr>
              <w:t>Earth fixed tracking area. Quasi-Earth fixed &amp; Earth moving cells for NGSO</w:t>
            </w:r>
          </w:p>
          <w:p w14:paraId="0530B83D" w14:textId="77777777" w:rsidR="0003034D" w:rsidRPr="0003034D" w:rsidRDefault="0003034D" w:rsidP="0003034D">
            <w:pPr>
              <w:numPr>
                <w:ilvl w:val="0"/>
                <w:numId w:val="36"/>
              </w:numPr>
              <w:overflowPunct w:val="0"/>
              <w:autoSpaceDE w:val="0"/>
              <w:autoSpaceDN w:val="0"/>
              <w:adjustRightInd w:val="0"/>
              <w:spacing w:after="0" w:line="276" w:lineRule="auto"/>
              <w:textAlignment w:val="baseline"/>
              <w:rPr>
                <w:rFonts w:eastAsia="SimSun"/>
                <w:bCs/>
                <w:lang w:eastAsia="en-GB"/>
              </w:rPr>
            </w:pPr>
            <w:r w:rsidRPr="0003034D">
              <w:rPr>
                <w:rFonts w:eastAsia="SimSun"/>
                <w:bCs/>
                <w:lang w:eastAsia="en-GB"/>
              </w:rPr>
              <w:t>UEs with GNSS (Global Navigation Satellite Systems) capability</w:t>
            </w:r>
          </w:p>
          <w:p w14:paraId="3918BBDA" w14:textId="77777777" w:rsidR="0003034D" w:rsidRPr="0003034D" w:rsidRDefault="0003034D" w:rsidP="0003034D">
            <w:pPr>
              <w:numPr>
                <w:ilvl w:val="0"/>
                <w:numId w:val="36"/>
              </w:numPr>
              <w:overflowPunct w:val="0"/>
              <w:autoSpaceDE w:val="0"/>
              <w:autoSpaceDN w:val="0"/>
              <w:adjustRightInd w:val="0"/>
              <w:spacing w:after="0" w:line="276" w:lineRule="auto"/>
              <w:textAlignment w:val="baseline"/>
              <w:rPr>
                <w:rFonts w:eastAsia="SimSun"/>
                <w:bCs/>
                <w:lang w:eastAsia="en-GB"/>
              </w:rPr>
            </w:pPr>
            <w:r w:rsidRPr="0003034D">
              <w:rPr>
                <w:rFonts w:eastAsia="SimSun"/>
                <w:bCs/>
                <w:lang w:eastAsia="en-GB"/>
              </w:rPr>
              <w:t>FDD mode for NR-NTN</w:t>
            </w:r>
          </w:p>
          <w:p w14:paraId="04EB5CCF" w14:textId="77777777" w:rsidR="0003034D" w:rsidRPr="0003034D" w:rsidRDefault="0003034D" w:rsidP="0003034D">
            <w:pPr>
              <w:numPr>
                <w:ilvl w:val="0"/>
                <w:numId w:val="36"/>
              </w:numPr>
              <w:overflowPunct w:val="0"/>
              <w:autoSpaceDE w:val="0"/>
              <w:autoSpaceDN w:val="0"/>
              <w:adjustRightInd w:val="0"/>
              <w:spacing w:after="0" w:line="276" w:lineRule="auto"/>
              <w:textAlignment w:val="baseline"/>
              <w:rPr>
                <w:rFonts w:eastAsia="SimSun"/>
                <w:bCs/>
                <w:lang w:eastAsia="en-GB"/>
              </w:rPr>
            </w:pPr>
            <w:r w:rsidRPr="0003034D">
              <w:rPr>
                <w:rFonts w:eastAsia="SimSun"/>
                <w:bCs/>
                <w:lang w:eastAsia="en-GB"/>
              </w:rPr>
              <w:t>NTN-FR1 band is considered in priority</w:t>
            </w:r>
          </w:p>
          <w:p w14:paraId="54543708" w14:textId="77777777" w:rsidR="0003034D" w:rsidRPr="0003034D" w:rsidRDefault="0003034D" w:rsidP="0003034D">
            <w:pPr>
              <w:numPr>
                <w:ilvl w:val="0"/>
                <w:numId w:val="36"/>
              </w:numPr>
              <w:overflowPunct w:val="0"/>
              <w:autoSpaceDE w:val="0"/>
              <w:autoSpaceDN w:val="0"/>
              <w:adjustRightInd w:val="0"/>
              <w:spacing w:after="0" w:line="276" w:lineRule="auto"/>
              <w:textAlignment w:val="baseline"/>
              <w:rPr>
                <w:rFonts w:eastAsia="SimSun"/>
                <w:bCs/>
                <w:lang w:eastAsia="en-GB"/>
              </w:rPr>
            </w:pPr>
            <w:r w:rsidRPr="0003034D">
              <w:rPr>
                <w:rFonts w:eastAsia="SimSun"/>
                <w:bCs/>
                <w:lang w:eastAsia="en-GB"/>
              </w:rPr>
              <w:t>Implicit compatibility to support HAPS (High Altitude Platform Station) and ATG (Air To Ground) scenarios, where relevant</w:t>
            </w:r>
          </w:p>
          <w:p w14:paraId="3DD012D6" w14:textId="77777777" w:rsidR="0003034D" w:rsidRPr="0003034D" w:rsidRDefault="0003034D" w:rsidP="0003034D">
            <w:pPr>
              <w:overflowPunct w:val="0"/>
              <w:autoSpaceDE w:val="0"/>
              <w:autoSpaceDN w:val="0"/>
              <w:adjustRightInd w:val="0"/>
              <w:spacing w:after="0" w:line="276" w:lineRule="auto"/>
              <w:textAlignment w:val="baseline"/>
              <w:rPr>
                <w:rFonts w:eastAsia="SimSun"/>
                <w:bCs/>
                <w:lang w:eastAsia="en-GB"/>
              </w:rPr>
            </w:pPr>
          </w:p>
          <w:p w14:paraId="726F68EA" w14:textId="77777777" w:rsidR="0003034D" w:rsidRPr="0003034D" w:rsidRDefault="0003034D" w:rsidP="0003034D">
            <w:pPr>
              <w:overflowPunct w:val="0"/>
              <w:autoSpaceDE w:val="0"/>
              <w:autoSpaceDN w:val="0"/>
              <w:adjustRightInd w:val="0"/>
              <w:spacing w:after="0" w:line="276" w:lineRule="auto"/>
              <w:textAlignment w:val="baseline"/>
              <w:rPr>
                <w:rFonts w:eastAsia="SimSun"/>
                <w:bCs/>
                <w:lang w:eastAsia="en-GB"/>
              </w:rPr>
            </w:pPr>
          </w:p>
          <w:p w14:paraId="3718DCA8" w14:textId="77777777" w:rsidR="0003034D" w:rsidRPr="0003034D" w:rsidRDefault="0003034D" w:rsidP="0003034D">
            <w:pPr>
              <w:overflowPunct w:val="0"/>
              <w:autoSpaceDE w:val="0"/>
              <w:autoSpaceDN w:val="0"/>
              <w:adjustRightInd w:val="0"/>
              <w:spacing w:after="0" w:line="276" w:lineRule="auto"/>
              <w:textAlignment w:val="baseline"/>
              <w:rPr>
                <w:rFonts w:eastAsia="SimSun"/>
                <w:bCs/>
                <w:lang w:eastAsia="en-GB"/>
              </w:rPr>
            </w:pPr>
            <w:r w:rsidRPr="0003034D">
              <w:rPr>
                <w:rFonts w:eastAsia="SimSun"/>
                <w:bCs/>
                <w:lang w:eastAsia="en-GB"/>
              </w:rPr>
              <w:t>The</w:t>
            </w:r>
            <w:r w:rsidRPr="0003034D">
              <w:rPr>
                <w:rFonts w:eastAsia="SimSun" w:hint="eastAsia"/>
                <w:bCs/>
                <w:lang w:eastAsia="en-GB"/>
              </w:rPr>
              <w:t xml:space="preserve"> </w:t>
            </w:r>
            <w:r w:rsidRPr="0003034D">
              <w:rPr>
                <w:rFonts w:eastAsia="SimSun" w:hint="eastAsia"/>
                <w:bCs/>
                <w:lang w:eastAsia="zh-CN"/>
              </w:rPr>
              <w:t xml:space="preserve">work item aims </w:t>
            </w:r>
            <w:r w:rsidRPr="0003034D">
              <w:rPr>
                <w:rFonts w:eastAsia="SimSun"/>
                <w:bCs/>
                <w:lang w:eastAsia="zh-CN"/>
              </w:rPr>
              <w:t>at</w:t>
            </w:r>
            <w:r w:rsidRPr="0003034D">
              <w:rPr>
                <w:rFonts w:eastAsia="SimSun" w:hint="eastAsia"/>
                <w:bCs/>
                <w:lang w:eastAsia="zh-CN"/>
              </w:rPr>
              <w:t xml:space="preserve"> </w:t>
            </w:r>
            <w:r w:rsidRPr="0003034D">
              <w:rPr>
                <w:rFonts w:eastAsia="SimSun"/>
                <w:bCs/>
                <w:lang w:eastAsia="zh-CN"/>
              </w:rPr>
              <w:t xml:space="preserve">specifying </w:t>
            </w:r>
            <w:r w:rsidRPr="0003034D">
              <w:rPr>
                <w:rFonts w:eastAsia="SimSun" w:hint="eastAsia"/>
                <w:bCs/>
                <w:lang w:eastAsia="zh-CN"/>
              </w:rPr>
              <w:t>support</w:t>
            </w:r>
            <w:r w:rsidRPr="0003034D">
              <w:rPr>
                <w:rFonts w:eastAsia="SimSun"/>
                <w:bCs/>
                <w:lang w:eastAsia="zh-CN"/>
              </w:rPr>
              <w:t xml:space="preserve"> for</w:t>
            </w:r>
            <w:r w:rsidRPr="0003034D">
              <w:rPr>
                <w:rFonts w:eastAsia="SimSun" w:hint="eastAsia"/>
                <w:bCs/>
                <w:lang w:eastAsia="zh-CN"/>
              </w:rPr>
              <w:t xml:space="preserve"> the following </w:t>
            </w:r>
            <w:r w:rsidRPr="0003034D">
              <w:rPr>
                <w:rFonts w:eastAsia="SimSun"/>
                <w:bCs/>
                <w:lang w:eastAsia="en-GB"/>
              </w:rPr>
              <w:t>objectives:</w:t>
            </w:r>
          </w:p>
          <w:p w14:paraId="4FD5F86A" w14:textId="77777777" w:rsidR="0003034D" w:rsidRPr="0003034D" w:rsidRDefault="0003034D" w:rsidP="0003034D">
            <w:pPr>
              <w:widowControl w:val="0"/>
              <w:numPr>
                <w:ilvl w:val="0"/>
                <w:numId w:val="19"/>
              </w:numPr>
              <w:overflowPunct w:val="0"/>
              <w:autoSpaceDE w:val="0"/>
              <w:autoSpaceDN w:val="0"/>
              <w:adjustRightInd w:val="0"/>
              <w:spacing w:after="0" w:line="276" w:lineRule="auto"/>
              <w:contextualSpacing/>
              <w:jc w:val="both"/>
              <w:textAlignment w:val="baseline"/>
              <w:rPr>
                <w:rFonts w:eastAsia="SimSun"/>
                <w:lang w:val="en-US" w:eastAsia="zh-CN"/>
              </w:rPr>
            </w:pPr>
            <w:r w:rsidRPr="0003034D">
              <w:rPr>
                <w:rFonts w:eastAsia="Calibri"/>
                <w:lang w:val="en-US" w:eastAsia="zh-CN"/>
              </w:rPr>
              <w:t>idle mode mobility based on cell reselection from E-UTRA TN to NR NTN, where E-UTRA TN provides satellite information for NR NTN neighbor cells in a System Information Block.</w:t>
            </w:r>
            <w:r w:rsidRPr="0003034D">
              <w:rPr>
                <w:rFonts w:eastAsia="Calibri" w:hint="eastAsia"/>
                <w:lang w:val="en-US" w:eastAsia="zh-CN"/>
              </w:rPr>
              <w:t xml:space="preserve"> </w:t>
            </w:r>
            <w:r w:rsidRPr="0003034D">
              <w:rPr>
                <w:rFonts w:eastAsia="Calibri"/>
                <w:lang w:val="en-US" w:eastAsia="zh-CN"/>
              </w:rPr>
              <w:t>[RAN2</w:t>
            </w:r>
            <w:r w:rsidRPr="0003034D">
              <w:rPr>
                <w:rFonts w:eastAsia="Calibri" w:hint="eastAsia"/>
                <w:lang w:val="en-US" w:eastAsia="zh-CN"/>
              </w:rPr>
              <w:t>]</w:t>
            </w:r>
            <w:r w:rsidRPr="0003034D">
              <w:rPr>
                <w:rFonts w:eastAsia="SimSun" w:hint="eastAsia"/>
                <w:lang w:val="en-US" w:eastAsia="zh-CN"/>
              </w:rPr>
              <w:t xml:space="preserve"> </w:t>
            </w:r>
          </w:p>
          <w:p w14:paraId="68DA7CDF" w14:textId="55D8F609" w:rsidR="0003034D" w:rsidRPr="0003034D" w:rsidRDefault="0003034D" w:rsidP="0003034D">
            <w:pPr>
              <w:widowControl w:val="0"/>
              <w:numPr>
                <w:ilvl w:val="0"/>
                <w:numId w:val="19"/>
              </w:numPr>
              <w:overflowPunct w:val="0"/>
              <w:autoSpaceDE w:val="0"/>
              <w:autoSpaceDN w:val="0"/>
              <w:adjustRightInd w:val="0"/>
              <w:spacing w:after="0" w:line="276" w:lineRule="auto"/>
              <w:contextualSpacing/>
              <w:jc w:val="both"/>
              <w:textAlignment w:val="baseline"/>
              <w:rPr>
                <w:rFonts w:eastAsia="Calibri"/>
                <w:highlight w:val="green"/>
                <w:lang w:val="en-US" w:eastAsia="zh-CN"/>
              </w:rPr>
            </w:pPr>
            <w:r w:rsidRPr="0003034D">
              <w:rPr>
                <w:rFonts w:eastAsia="SimSun" w:hint="eastAsia"/>
                <w:highlight w:val="green"/>
                <w:lang w:val="en-US" w:eastAsia="zh-CN"/>
              </w:rPr>
              <w:t xml:space="preserve">connected mode mobility based on handover from E-UTRA TN to NR NTN, where E-UTRA TN provides </w:t>
            </w:r>
            <w:r w:rsidRPr="0003034D">
              <w:rPr>
                <w:rFonts w:eastAsia="SimSun"/>
                <w:highlight w:val="green"/>
                <w:lang w:val="en-US" w:eastAsia="zh-CN"/>
              </w:rPr>
              <w:t>necessary</w:t>
            </w:r>
            <w:r w:rsidRPr="0003034D">
              <w:rPr>
                <w:rFonts w:eastAsia="SimSun" w:hint="eastAsia"/>
                <w:highlight w:val="green"/>
                <w:lang w:val="en-US" w:eastAsia="zh-CN"/>
              </w:rPr>
              <w:t xml:space="preserve"> satellite information for NR NTN neighbor cell measurements (e.g. polarization information, ephemeris data, etc.) in NR specific measurement configurations. [RAN2]</w:t>
            </w:r>
          </w:p>
          <w:p w14:paraId="20F560F6" w14:textId="77777777" w:rsidR="0003034D" w:rsidRPr="0003034D" w:rsidRDefault="0003034D" w:rsidP="0003034D">
            <w:pPr>
              <w:widowControl w:val="0"/>
              <w:spacing w:after="0" w:line="276" w:lineRule="auto"/>
              <w:contextualSpacing/>
              <w:jc w:val="both"/>
              <w:rPr>
                <w:rFonts w:eastAsia="Calibri"/>
                <w:lang w:val="en-US" w:eastAsia="zh-CN"/>
              </w:rPr>
            </w:pPr>
          </w:p>
          <w:p w14:paraId="00959111" w14:textId="77777777" w:rsidR="0003034D" w:rsidRPr="0003034D" w:rsidRDefault="0003034D" w:rsidP="0003034D">
            <w:pPr>
              <w:widowControl w:val="0"/>
              <w:spacing w:after="0" w:line="276" w:lineRule="auto"/>
              <w:contextualSpacing/>
              <w:jc w:val="both"/>
              <w:rPr>
                <w:rFonts w:eastAsia="Calibri"/>
                <w:lang w:val="en-US" w:eastAsia="zh-CN"/>
              </w:rPr>
            </w:pPr>
            <w:r w:rsidRPr="0003034D">
              <w:rPr>
                <w:rFonts w:eastAsia="Calibri"/>
                <w:lang w:val="en-US" w:eastAsia="zh-CN"/>
              </w:rPr>
              <w:t xml:space="preserve">Note: </w:t>
            </w:r>
          </w:p>
          <w:p w14:paraId="04EAE889" w14:textId="77777777" w:rsidR="0003034D" w:rsidRPr="0003034D" w:rsidRDefault="0003034D" w:rsidP="0003034D">
            <w:pPr>
              <w:widowControl w:val="0"/>
              <w:numPr>
                <w:ilvl w:val="0"/>
                <w:numId w:val="37"/>
              </w:numPr>
              <w:overflowPunct w:val="0"/>
              <w:autoSpaceDE w:val="0"/>
              <w:autoSpaceDN w:val="0"/>
              <w:adjustRightInd w:val="0"/>
              <w:spacing w:after="0" w:line="276" w:lineRule="auto"/>
              <w:contextualSpacing/>
              <w:jc w:val="both"/>
              <w:textAlignment w:val="baseline"/>
              <w:rPr>
                <w:rFonts w:eastAsia="Calibri"/>
                <w:lang w:val="en-US" w:eastAsia="zh-CN"/>
              </w:rPr>
            </w:pPr>
            <w:r w:rsidRPr="0003034D">
              <w:rPr>
                <w:rFonts w:eastAsia="SimSun" w:hint="eastAsia"/>
                <w:highlight w:val="green"/>
                <w:lang w:val="en-US" w:eastAsia="zh-CN"/>
              </w:rPr>
              <w:t>For idle mode mobility</w:t>
            </w:r>
            <w:r w:rsidRPr="0003034D">
              <w:rPr>
                <w:rFonts w:eastAsia="SimSun" w:hint="eastAsia"/>
                <w:lang w:val="en-US" w:eastAsia="zh-CN"/>
              </w:rPr>
              <w:t>, t</w:t>
            </w:r>
            <w:r w:rsidRPr="0003034D">
              <w:rPr>
                <w:rFonts w:eastAsia="Calibri"/>
                <w:lang w:val="en-US" w:eastAsia="zh-CN"/>
              </w:rPr>
              <w:t>he solutions shall be reusing the existing signaling introduced for IoT-NTN and mobility procedures between NR TN and NR NTN to the maximum extent.</w:t>
            </w:r>
          </w:p>
          <w:p w14:paraId="56F46AF6" w14:textId="788BDC6F" w:rsidR="0003034D" w:rsidRPr="0003034D" w:rsidRDefault="0003034D" w:rsidP="0082367D">
            <w:pPr>
              <w:widowControl w:val="0"/>
              <w:numPr>
                <w:ilvl w:val="0"/>
                <w:numId w:val="37"/>
              </w:numPr>
              <w:overflowPunct w:val="0"/>
              <w:autoSpaceDE w:val="0"/>
              <w:autoSpaceDN w:val="0"/>
              <w:adjustRightInd w:val="0"/>
              <w:spacing w:after="0" w:line="276" w:lineRule="auto"/>
              <w:contextualSpacing/>
              <w:jc w:val="both"/>
              <w:textAlignment w:val="baseline"/>
              <w:rPr>
                <w:rFonts w:eastAsia="Calibri"/>
                <w:lang w:val="en-US" w:eastAsia="zh-CN"/>
              </w:rPr>
            </w:pPr>
            <w:r w:rsidRPr="0003034D">
              <w:rPr>
                <w:rFonts w:eastAsia="SimSun" w:hint="eastAsia"/>
                <w:highlight w:val="green"/>
                <w:lang w:val="en-US" w:eastAsia="zh-CN"/>
              </w:rPr>
              <w:t xml:space="preserve">For connected mode </w:t>
            </w:r>
            <w:r w:rsidRPr="0003034D">
              <w:rPr>
                <w:rFonts w:eastAsia="SimSun"/>
                <w:highlight w:val="green"/>
                <w:lang w:val="en-US" w:eastAsia="zh-CN"/>
              </w:rPr>
              <w:t>mobility</w:t>
            </w:r>
            <w:r w:rsidRPr="0003034D">
              <w:rPr>
                <w:rFonts w:eastAsia="SimSun" w:hint="eastAsia"/>
                <w:highlight w:val="green"/>
                <w:lang w:val="en-US" w:eastAsia="zh-CN"/>
              </w:rPr>
              <w:t xml:space="preserve">, the solutions shall be reusing the </w:t>
            </w:r>
            <w:r w:rsidRPr="0003034D">
              <w:rPr>
                <w:rFonts w:eastAsia="SimSun"/>
                <w:highlight w:val="green"/>
                <w:lang w:val="en-US" w:eastAsia="zh-CN"/>
              </w:rPr>
              <w:t>existing</w:t>
            </w:r>
            <w:r w:rsidRPr="0003034D">
              <w:rPr>
                <w:rFonts w:eastAsia="SimSun" w:hint="eastAsia"/>
                <w:highlight w:val="green"/>
                <w:lang w:val="en-US" w:eastAsia="zh-CN"/>
              </w:rPr>
              <w:t xml:space="preserve"> </w:t>
            </w:r>
            <w:r w:rsidRPr="0003034D">
              <w:rPr>
                <w:rFonts w:eastAsia="SimSun"/>
                <w:highlight w:val="green"/>
                <w:lang w:val="en-US" w:eastAsia="zh-CN"/>
              </w:rPr>
              <w:t>signaling</w:t>
            </w:r>
            <w:r w:rsidRPr="0003034D">
              <w:rPr>
                <w:rFonts w:eastAsia="SimSun" w:hint="eastAsia"/>
                <w:highlight w:val="green"/>
                <w:lang w:val="en-US" w:eastAsia="zh-CN"/>
              </w:rPr>
              <w:t xml:space="preserve"> for inter-RAT measurements to NR in TS 36.331 and the related satellite assistance information specified in TS 38.331 for NR NTN. Support of multiple SMTC is not within the scope.</w:t>
            </w:r>
          </w:p>
        </w:tc>
      </w:tr>
    </w:tbl>
    <w:p w14:paraId="75A302ED" w14:textId="06CC11FE" w:rsidR="006D7CA2" w:rsidRDefault="0003034D" w:rsidP="0082367D">
      <w:r>
        <w:br/>
      </w:r>
      <w:r w:rsidR="00074C39">
        <w:t xml:space="preserve">In this </w:t>
      </w:r>
      <w:r w:rsidR="00C43338" w:rsidRPr="00451A30">
        <w:t xml:space="preserve">paper we </w:t>
      </w:r>
      <w:r>
        <w:t>provide our view regarding how to address this new objective</w:t>
      </w:r>
      <w:r w:rsidR="00C43338" w:rsidRPr="00451A30">
        <w:t>.</w:t>
      </w:r>
      <w:r>
        <w:t xml:space="preserve"> In addition, we follow up</w:t>
      </w:r>
      <w:r w:rsidR="004F1B27">
        <w:t xml:space="preserve"> on the redirection from LTE TN to NR NTN which has been discussed at RAN2#128 </w:t>
      </w:r>
      <w:r w:rsidR="004F1B27">
        <w:fldChar w:fldCharType="begin"/>
      </w:r>
      <w:r w:rsidR="004F1B27">
        <w:instrText xml:space="preserve"> REF _Ref185348199 \r \h </w:instrText>
      </w:r>
      <w:r w:rsidR="004F1B27">
        <w:fldChar w:fldCharType="separate"/>
      </w:r>
      <w:r w:rsidR="004F1B27">
        <w:t>[2]</w:t>
      </w:r>
      <w:r w:rsidR="004F1B27">
        <w:fldChar w:fldCharType="end"/>
      </w:r>
      <w:r w:rsidR="00AE3105">
        <w:t xml:space="preserve"> without final conclusions</w:t>
      </w:r>
      <w:r w:rsidR="004F1B27">
        <w:t>.</w:t>
      </w:r>
    </w:p>
    <w:p w14:paraId="7D484B6E" w14:textId="3BD33464" w:rsidR="009339CB" w:rsidRDefault="009339CB" w:rsidP="00531EC4">
      <w:pPr>
        <w:pStyle w:val="Heading1"/>
        <w:jc w:val="both"/>
      </w:pPr>
      <w:r w:rsidRPr="006E13D1">
        <w:lastRenderedPageBreak/>
        <w:t>2</w:t>
      </w:r>
      <w:r w:rsidRPr="006E13D1">
        <w:tab/>
      </w:r>
      <w:r w:rsidR="00AD25AE">
        <w:t>Discussion</w:t>
      </w:r>
    </w:p>
    <w:p w14:paraId="1AE1D61E" w14:textId="7780D497" w:rsidR="00D20456" w:rsidRDefault="00C82AC3" w:rsidP="00D20456">
      <w:pPr>
        <w:pStyle w:val="Heading2"/>
        <w:jc w:val="both"/>
      </w:pPr>
      <w:r>
        <w:t>2.1</w:t>
      </w:r>
      <w:r>
        <w:tab/>
      </w:r>
      <w:r w:rsidR="0003034D">
        <w:t>Mobility from E-UTRA TN to NR NTN</w:t>
      </w:r>
      <w:r w:rsidR="00C30013">
        <w:t xml:space="preserve"> in CONNECTED</w:t>
      </w:r>
    </w:p>
    <w:p w14:paraId="7A111674" w14:textId="0A083663" w:rsidR="00225463" w:rsidRDefault="00C30013" w:rsidP="00CD1655">
      <w:pPr>
        <w:jc w:val="both"/>
      </w:pPr>
      <w:r>
        <w:t>As RAN2 did great job in Release 19 in defining the mechanisms to enable LTE TN to NR NTN reselections, RAN#106</w:t>
      </w:r>
      <w:r w:rsidR="00AE3105">
        <w:t xml:space="preserve"> (in December 2024)</w:t>
      </w:r>
      <w:r>
        <w:t xml:space="preserve"> has assigned a new task to RAN2 – define a solution for Connected mode handover from E-UTRA TN to NR NTN. </w:t>
      </w:r>
      <w:r w:rsidR="00225463">
        <w:t xml:space="preserve">As a part of this work, RAN2 needs to decide how the UE acquires the information about NR NTN cell’s </w:t>
      </w:r>
      <w:r w:rsidR="006D307B">
        <w:t xml:space="preserve">(e.g. </w:t>
      </w:r>
      <w:r w:rsidR="00225463">
        <w:t>polarization, ephemeris, etc.</w:t>
      </w:r>
      <w:r w:rsidR="006D307B">
        <w:t>) while it is being served by the E-UTRAN TN cell</w:t>
      </w:r>
      <w:r w:rsidR="00225463">
        <w:t>.</w:t>
      </w:r>
    </w:p>
    <w:p w14:paraId="4F293DD7" w14:textId="66E6DE2D" w:rsidR="00225463" w:rsidRPr="00A861D5" w:rsidRDefault="00225463" w:rsidP="00CD1655">
      <w:pPr>
        <w:jc w:val="both"/>
        <w:rPr>
          <w:b/>
          <w:bCs/>
        </w:rPr>
      </w:pPr>
      <w:r w:rsidRPr="00A861D5">
        <w:rPr>
          <w:b/>
          <w:bCs/>
        </w:rPr>
        <w:t>Observation 1:</w:t>
      </w:r>
      <w:r w:rsidR="00A861D5">
        <w:rPr>
          <w:b/>
          <w:bCs/>
        </w:rPr>
        <w:t xml:space="preserve"> To address the new objective in the WID (</w:t>
      </w:r>
      <w:r w:rsidR="00691173" w:rsidRPr="00691173">
        <w:rPr>
          <w:b/>
          <w:bCs/>
        </w:rPr>
        <w:t>RP-243115</w:t>
      </w:r>
      <w:r w:rsidR="00691173">
        <w:rPr>
          <w:b/>
          <w:bCs/>
        </w:rPr>
        <w:t xml:space="preserve">) </w:t>
      </w:r>
      <w:r w:rsidR="00A861D5">
        <w:rPr>
          <w:b/>
          <w:bCs/>
        </w:rPr>
        <w:t xml:space="preserve">RAN2 needs to </w:t>
      </w:r>
      <w:r w:rsidR="00A861D5" w:rsidRPr="00A861D5">
        <w:rPr>
          <w:b/>
          <w:bCs/>
        </w:rPr>
        <w:t xml:space="preserve">decide how the UE acquires the information about NR NTN </w:t>
      </w:r>
      <w:r w:rsidR="006D307B">
        <w:rPr>
          <w:b/>
          <w:bCs/>
        </w:rPr>
        <w:t xml:space="preserve">(e.g. </w:t>
      </w:r>
      <w:r w:rsidR="00A861D5" w:rsidRPr="00A861D5">
        <w:rPr>
          <w:b/>
          <w:bCs/>
        </w:rPr>
        <w:t>cell’s polarization, ephemeris, etc</w:t>
      </w:r>
      <w:r w:rsidR="00A861D5">
        <w:rPr>
          <w:b/>
          <w:bCs/>
        </w:rPr>
        <w:t>.</w:t>
      </w:r>
      <w:r w:rsidR="006D307B">
        <w:rPr>
          <w:b/>
          <w:bCs/>
        </w:rPr>
        <w:t>) while it is being served by the E-UTRA TN cell</w:t>
      </w:r>
      <w:r w:rsidR="00A861D5">
        <w:rPr>
          <w:b/>
          <w:bCs/>
        </w:rPr>
        <w:t>.</w:t>
      </w:r>
    </w:p>
    <w:p w14:paraId="6056D912" w14:textId="7E6C9E96" w:rsidR="00E9109E" w:rsidRDefault="00A861D5" w:rsidP="00CD1655">
      <w:pPr>
        <w:jc w:val="both"/>
      </w:pPr>
      <w:r>
        <w:t xml:space="preserve">As can be noticed in </w:t>
      </w:r>
      <w:r>
        <w:fldChar w:fldCharType="begin"/>
      </w:r>
      <w:r>
        <w:instrText xml:space="preserve"> REF _Ref185347846 \r \h </w:instrText>
      </w:r>
      <w:r>
        <w:fldChar w:fldCharType="separate"/>
      </w:r>
      <w:r>
        <w:t>[1]</w:t>
      </w:r>
      <w:r>
        <w:fldChar w:fldCharType="end"/>
      </w:r>
      <w:r>
        <w:t xml:space="preserve">, the work does not involve multiple NR SMTCs the UE connected to LTE TN cell should measure. It is a similar restriction as agreed for the mechanism that applies to IDLE/INACTIVE. </w:t>
      </w:r>
    </w:p>
    <w:p w14:paraId="11991877" w14:textId="1D0ACA1C" w:rsidR="00A861D5" w:rsidRPr="00E91A33" w:rsidRDefault="00A861D5" w:rsidP="00CD1655">
      <w:pPr>
        <w:jc w:val="both"/>
        <w:rPr>
          <w:b/>
          <w:bCs/>
        </w:rPr>
      </w:pPr>
      <w:r w:rsidRPr="00E91A33">
        <w:rPr>
          <w:b/>
          <w:bCs/>
        </w:rPr>
        <w:t xml:space="preserve">Observation 2: </w:t>
      </w:r>
      <w:r w:rsidR="00E91A33" w:rsidRPr="00E91A33">
        <w:rPr>
          <w:b/>
          <w:bCs/>
        </w:rPr>
        <w:t>The solution RAN2 needs to define for CONNECTED mode does not include multiple SMTCs</w:t>
      </w:r>
      <w:r w:rsidRPr="00E91A33">
        <w:rPr>
          <w:b/>
          <w:bCs/>
        </w:rPr>
        <w:t>.</w:t>
      </w:r>
    </w:p>
    <w:p w14:paraId="64DE78A2" w14:textId="41E646BB" w:rsidR="00B04A40" w:rsidRDefault="00B04A40" w:rsidP="00CD1655">
      <w:pPr>
        <w:jc w:val="both"/>
      </w:pPr>
      <w:r>
        <w:t xml:space="preserve">In order to execute a handover to NR NTN while being served by E-UTRA TN the UE needs to possess the information regarding the ephemeris and polarization. Similar need was identified in Release 18, when </w:t>
      </w:r>
      <w:r w:rsidR="00EE5776">
        <w:t xml:space="preserve">Event D2 has been defined. It was concluded then that the UE should obtain all necessary components directly from RRC Reconfiguration (i.e. dedicated message) and it should not try to match some information from SIB19 with the corresponding information </w:t>
      </w:r>
      <w:r w:rsidR="00FA1BC5">
        <w:t>from the</w:t>
      </w:r>
      <w:r w:rsidR="00EE5776">
        <w:t xml:space="preserve"> dedicated message. </w:t>
      </w:r>
    </w:p>
    <w:p w14:paraId="6D94C991" w14:textId="6F30E4BA" w:rsidR="00B04A40" w:rsidRPr="008054A5" w:rsidRDefault="00B04A40" w:rsidP="00CD1655">
      <w:pPr>
        <w:jc w:val="both"/>
        <w:rPr>
          <w:b/>
          <w:bCs/>
        </w:rPr>
      </w:pPr>
      <w:r w:rsidRPr="008054A5">
        <w:rPr>
          <w:b/>
          <w:bCs/>
        </w:rPr>
        <w:t>Observation 3:</w:t>
      </w:r>
      <w:r w:rsidR="00EE5776">
        <w:rPr>
          <w:b/>
          <w:bCs/>
        </w:rPr>
        <w:t xml:space="preserve"> When designing Event D2 in Release 18 it </w:t>
      </w:r>
      <w:r w:rsidR="00EE5776" w:rsidRPr="00EE5776">
        <w:rPr>
          <w:b/>
          <w:bCs/>
        </w:rPr>
        <w:t>was concluded that the UE should obtain all necessary components directly from RRC Reconfiguration (i.e. dedicated message) and it should not try to match some information from SIB19 with the corresponding information in dedicated message</w:t>
      </w:r>
      <w:r w:rsidR="00EE5776">
        <w:rPr>
          <w:b/>
          <w:bCs/>
        </w:rPr>
        <w:t>.</w:t>
      </w:r>
    </w:p>
    <w:p w14:paraId="52A7400B" w14:textId="49862F51" w:rsidR="00A861D5" w:rsidRDefault="00CF62DE" w:rsidP="00CD1655">
      <w:pPr>
        <w:jc w:val="both"/>
      </w:pPr>
      <w:r>
        <w:t>To implement what has been summarized in Observation 3</w:t>
      </w:r>
      <w:r w:rsidR="007B46C9">
        <w:t>,</w:t>
      </w:r>
      <w:r>
        <w:t xml:space="preserve"> </w:t>
      </w:r>
      <w:r w:rsidR="00855429" w:rsidRPr="00CF62DE">
        <w:rPr>
          <w:i/>
          <w:iCs/>
        </w:rPr>
        <w:t>NTN-</w:t>
      </w:r>
      <w:proofErr w:type="spellStart"/>
      <w:r w:rsidR="00855429" w:rsidRPr="00CF62DE">
        <w:rPr>
          <w:i/>
          <w:iCs/>
        </w:rPr>
        <w:t>NeighbourCellInfo</w:t>
      </w:r>
      <w:proofErr w:type="spellEnd"/>
      <w:r w:rsidR="00855429" w:rsidRPr="00855429">
        <w:t xml:space="preserve"> is given as a part of </w:t>
      </w:r>
      <w:proofErr w:type="spellStart"/>
      <w:r w:rsidR="00855429" w:rsidRPr="00CF62DE">
        <w:rPr>
          <w:i/>
          <w:iCs/>
        </w:rPr>
        <w:t>MeasObjectNR</w:t>
      </w:r>
      <w:proofErr w:type="spellEnd"/>
      <w:r>
        <w:t xml:space="preserve"> </w:t>
      </w:r>
      <w:r>
        <w:fldChar w:fldCharType="begin"/>
      </w:r>
      <w:r>
        <w:instrText xml:space="preserve"> REF _Ref186791909 \r \h </w:instrText>
      </w:r>
      <w:r>
        <w:fldChar w:fldCharType="separate"/>
      </w:r>
      <w:r>
        <w:t>[3]</w:t>
      </w:r>
      <w:r>
        <w:fldChar w:fldCharType="end"/>
      </w:r>
      <w:r>
        <w:t xml:space="preserve"> if measurement object is configured by the serving cell for measuring Earth-moving NTN neighbour cell associated with the reporting configuration with </w:t>
      </w:r>
      <w:r w:rsidRPr="00CF62DE">
        <w:rPr>
          <w:i/>
          <w:iCs/>
        </w:rPr>
        <w:t>EventD2</w:t>
      </w:r>
      <w:r>
        <w:t xml:space="preserve"> or </w:t>
      </w:r>
      <w:r w:rsidRPr="00CF62DE">
        <w:rPr>
          <w:i/>
          <w:iCs/>
        </w:rPr>
        <w:t>condEventD2</w:t>
      </w:r>
      <w:r w:rsidR="00855429" w:rsidRPr="00855429">
        <w:t>.</w:t>
      </w:r>
    </w:p>
    <w:p w14:paraId="725EB7AF" w14:textId="5F74F803" w:rsidR="00701781" w:rsidRPr="00701781" w:rsidRDefault="00701781" w:rsidP="00CD1655">
      <w:pPr>
        <w:jc w:val="both"/>
        <w:rPr>
          <w:b/>
          <w:bCs/>
          <w:i/>
          <w:iCs/>
        </w:rPr>
      </w:pPr>
      <w:r w:rsidRPr="00701781">
        <w:rPr>
          <w:b/>
          <w:bCs/>
        </w:rPr>
        <w:t xml:space="preserve">Observation 4: As per NR RRC, </w:t>
      </w:r>
      <w:r w:rsidRPr="00701781">
        <w:rPr>
          <w:b/>
          <w:bCs/>
          <w:i/>
          <w:iCs/>
        </w:rPr>
        <w:t>NTN-</w:t>
      </w:r>
      <w:proofErr w:type="spellStart"/>
      <w:r w:rsidRPr="00701781">
        <w:rPr>
          <w:b/>
          <w:bCs/>
          <w:i/>
          <w:iCs/>
        </w:rPr>
        <w:t>NeighbourCellInfo</w:t>
      </w:r>
      <w:proofErr w:type="spellEnd"/>
      <w:r w:rsidRPr="00701781">
        <w:rPr>
          <w:b/>
          <w:bCs/>
        </w:rPr>
        <w:t xml:space="preserve"> can be given as a part of </w:t>
      </w:r>
      <w:proofErr w:type="spellStart"/>
      <w:r w:rsidRPr="00701781">
        <w:rPr>
          <w:b/>
          <w:bCs/>
          <w:i/>
          <w:iCs/>
        </w:rPr>
        <w:t>MeasObjectNR</w:t>
      </w:r>
      <w:proofErr w:type="spellEnd"/>
      <w:r w:rsidRPr="00701781">
        <w:rPr>
          <w:b/>
          <w:bCs/>
        </w:rPr>
        <w:t xml:space="preserve"> if measurement object is configured by the serving cell for Earth-moving NTN neighbour </w:t>
      </w:r>
      <w:r w:rsidR="00017642">
        <w:rPr>
          <w:b/>
          <w:bCs/>
        </w:rPr>
        <w:t xml:space="preserve">measurements </w:t>
      </w:r>
      <w:r w:rsidRPr="00701781">
        <w:rPr>
          <w:b/>
          <w:bCs/>
        </w:rPr>
        <w:t xml:space="preserve">associated with the reporting configuration with </w:t>
      </w:r>
      <w:r w:rsidRPr="00701781">
        <w:rPr>
          <w:b/>
          <w:bCs/>
          <w:i/>
          <w:iCs/>
        </w:rPr>
        <w:t>EventD2</w:t>
      </w:r>
      <w:r w:rsidRPr="00701781">
        <w:rPr>
          <w:b/>
          <w:bCs/>
        </w:rPr>
        <w:t xml:space="preserve"> or </w:t>
      </w:r>
      <w:r w:rsidRPr="00701781">
        <w:rPr>
          <w:b/>
          <w:bCs/>
          <w:i/>
          <w:iCs/>
        </w:rPr>
        <w:t>condEventD2.</w:t>
      </w:r>
    </w:p>
    <w:p w14:paraId="5147A15F" w14:textId="79984CF9" w:rsidR="003F78FD" w:rsidRDefault="00701781" w:rsidP="00CD1655">
      <w:pPr>
        <w:jc w:val="both"/>
      </w:pPr>
      <w:r w:rsidRPr="00701781">
        <w:t>Similar IE</w:t>
      </w:r>
      <w:r w:rsidR="003C6CE4">
        <w:t xml:space="preserve"> (e.g. </w:t>
      </w:r>
      <w:r w:rsidR="003C6CE4" w:rsidRPr="003C6CE4">
        <w:rPr>
          <w:i/>
          <w:iCs/>
        </w:rPr>
        <w:t>NTN-</w:t>
      </w:r>
      <w:proofErr w:type="spellStart"/>
      <w:r w:rsidR="003C6CE4" w:rsidRPr="003C6CE4">
        <w:rPr>
          <w:i/>
          <w:iCs/>
        </w:rPr>
        <w:t>NeighbourCellInfo</w:t>
      </w:r>
      <w:proofErr w:type="spellEnd"/>
      <w:r w:rsidR="003C6CE4">
        <w:t xml:space="preserve"> or </w:t>
      </w:r>
      <w:proofErr w:type="spellStart"/>
      <w:r w:rsidR="003C6CE4" w:rsidRPr="003C6CE4">
        <w:rPr>
          <w:i/>
          <w:iCs/>
        </w:rPr>
        <w:t>ntn</w:t>
      </w:r>
      <w:proofErr w:type="spellEnd"/>
      <w:r w:rsidR="003C6CE4" w:rsidRPr="003C6CE4">
        <w:rPr>
          <w:i/>
          <w:iCs/>
        </w:rPr>
        <w:t>-Config</w:t>
      </w:r>
      <w:r w:rsidR="003C6CE4">
        <w:t>)</w:t>
      </w:r>
      <w:r w:rsidRPr="00701781">
        <w:t xml:space="preserve"> should be available in RRC Connection Reconfiguration provided in E-UTRA cell.</w:t>
      </w:r>
      <w:r w:rsidR="00211DE2">
        <w:t xml:space="preserve"> The UE has to obtain this information for measurements and subsequent access (handover) to </w:t>
      </w:r>
      <w:r w:rsidR="003F78FD">
        <w:t xml:space="preserve">an </w:t>
      </w:r>
      <w:r w:rsidR="00211DE2">
        <w:t>NR NTN cell.</w:t>
      </w:r>
      <w:r w:rsidR="003F78FD">
        <w:t xml:space="preserve"> It may be suboptimal, though, to provide the information which has an excessive size and may overlap with the content of LTE system information blocks</w:t>
      </w:r>
      <w:r w:rsidR="00626A51">
        <w:t xml:space="preserve"> (e.g. SIB33 in </w:t>
      </w:r>
      <w:r w:rsidR="00626A51">
        <w:fldChar w:fldCharType="begin"/>
      </w:r>
      <w:r w:rsidR="00626A51">
        <w:instrText xml:space="preserve"> REF _Ref186803459 \r \h </w:instrText>
      </w:r>
      <w:r w:rsidR="00626A51">
        <w:fldChar w:fldCharType="separate"/>
      </w:r>
      <w:r w:rsidR="00626A51">
        <w:t>[4]</w:t>
      </w:r>
      <w:r w:rsidR="00626A51">
        <w:fldChar w:fldCharType="end"/>
      </w:r>
      <w:r w:rsidR="00626A51">
        <w:t>)</w:t>
      </w:r>
      <w:r w:rsidR="003F78FD">
        <w:t>.</w:t>
      </w:r>
    </w:p>
    <w:p w14:paraId="2BDEBBD0" w14:textId="4FAB21D0" w:rsidR="003F78FD" w:rsidRPr="003F78FD" w:rsidRDefault="003F78FD" w:rsidP="00CD1655">
      <w:pPr>
        <w:jc w:val="both"/>
        <w:rPr>
          <w:b/>
          <w:bCs/>
        </w:rPr>
      </w:pPr>
      <w:r w:rsidRPr="003F78FD">
        <w:rPr>
          <w:b/>
          <w:bCs/>
        </w:rPr>
        <w:t xml:space="preserve">Observation 5: It is not optimal to provide the information elements of excessive size (such as an ephemeris) in dedicated signalling, especially when </w:t>
      </w:r>
      <w:r w:rsidR="00DB16EB">
        <w:rPr>
          <w:b/>
          <w:bCs/>
        </w:rPr>
        <w:t>these</w:t>
      </w:r>
      <w:r w:rsidRPr="003F78FD">
        <w:rPr>
          <w:b/>
          <w:bCs/>
        </w:rPr>
        <w:t xml:space="preserve"> overlap with the content of LTE system information block</w:t>
      </w:r>
      <w:r w:rsidR="00BF7AD3">
        <w:rPr>
          <w:b/>
          <w:bCs/>
        </w:rPr>
        <w:t xml:space="preserve"> (e.g. </w:t>
      </w:r>
      <w:bookmarkStart w:id="0" w:name="_Hlk186806526"/>
      <w:proofErr w:type="spellStart"/>
      <w:r w:rsidR="00BF7AD3" w:rsidRPr="00DB16EB">
        <w:rPr>
          <w:b/>
          <w:bCs/>
          <w:i/>
          <w:iCs/>
        </w:rPr>
        <w:t>NeighSatelliteInfoNR</w:t>
      </w:r>
      <w:bookmarkEnd w:id="0"/>
      <w:proofErr w:type="spellEnd"/>
      <w:r w:rsidR="00BF7AD3">
        <w:rPr>
          <w:b/>
          <w:bCs/>
        </w:rPr>
        <w:t xml:space="preserve"> in SIB33, as per </w:t>
      </w:r>
      <w:bookmarkStart w:id="1" w:name="_Hlk186802659"/>
      <w:r w:rsidR="00BF7AD3">
        <w:rPr>
          <w:b/>
          <w:bCs/>
        </w:rPr>
        <w:t>R2-2407617</w:t>
      </w:r>
      <w:bookmarkEnd w:id="1"/>
      <w:r w:rsidR="00BF7AD3">
        <w:rPr>
          <w:b/>
          <w:bCs/>
        </w:rPr>
        <w:t>)</w:t>
      </w:r>
      <w:r w:rsidRPr="003F78FD">
        <w:rPr>
          <w:b/>
          <w:bCs/>
        </w:rPr>
        <w:t>.</w:t>
      </w:r>
    </w:p>
    <w:p w14:paraId="5C3068C7" w14:textId="0BEE0B74" w:rsidR="00701781" w:rsidRPr="00701781" w:rsidRDefault="00DB16EB" w:rsidP="00CD1655">
      <w:pPr>
        <w:jc w:val="both"/>
      </w:pPr>
      <w:r>
        <w:t>Nevertheless, if RAN2 is convinced the UE should conveniently receive all necessary parameters/information in dedicated</w:t>
      </w:r>
      <w:r w:rsidR="00E344B2">
        <w:t xml:space="preserve"> LTE</w:t>
      </w:r>
      <w:r>
        <w:t xml:space="preserve"> signalling then RAN2 should decide to insert </w:t>
      </w:r>
      <w:proofErr w:type="spellStart"/>
      <w:r w:rsidRPr="00DB16EB">
        <w:rPr>
          <w:i/>
          <w:iCs/>
        </w:rPr>
        <w:t>NeighSatelliteInfoNR</w:t>
      </w:r>
      <w:proofErr w:type="spellEnd"/>
      <w:r w:rsidRPr="00DB16EB">
        <w:t xml:space="preserve"> somewhere within </w:t>
      </w:r>
      <w:proofErr w:type="spellStart"/>
      <w:r w:rsidR="00E344B2" w:rsidRPr="00E344B2">
        <w:rPr>
          <w:i/>
          <w:iCs/>
        </w:rPr>
        <w:t>MeasConfig</w:t>
      </w:r>
      <w:proofErr w:type="spellEnd"/>
      <w:r w:rsidR="00E344B2">
        <w:t xml:space="preserve"> </w:t>
      </w:r>
      <w:r w:rsidR="00E344B2">
        <w:fldChar w:fldCharType="begin"/>
      </w:r>
      <w:r w:rsidR="00E344B2">
        <w:instrText xml:space="preserve"> REF _Ref186805896 \r \h </w:instrText>
      </w:r>
      <w:r w:rsidR="00E344B2">
        <w:fldChar w:fldCharType="separate"/>
      </w:r>
      <w:r w:rsidR="00E344B2">
        <w:t>[5]</w:t>
      </w:r>
      <w:r w:rsidR="00E344B2">
        <w:fldChar w:fldCharType="end"/>
      </w:r>
      <w:r w:rsidR="00E344B2">
        <w:t xml:space="preserve">. One option is to do it similarly to what was defined for </w:t>
      </w:r>
      <w:r w:rsidR="00E344B2" w:rsidRPr="0079508B">
        <w:rPr>
          <w:i/>
          <w:iCs/>
        </w:rPr>
        <w:t>EventD2</w:t>
      </w:r>
      <w:r w:rsidR="00E344B2">
        <w:t xml:space="preserve"> in Release 18 NR (as discussed above). In this </w:t>
      </w:r>
      <w:r w:rsidR="0079508B">
        <w:t xml:space="preserve">case </w:t>
      </w:r>
      <w:proofErr w:type="spellStart"/>
      <w:r w:rsidR="0079508B" w:rsidRPr="0079508B">
        <w:rPr>
          <w:i/>
          <w:iCs/>
        </w:rPr>
        <w:t>MeasObjectNR</w:t>
      </w:r>
      <w:proofErr w:type="spellEnd"/>
      <w:r w:rsidR="0079508B">
        <w:t xml:space="preserve"> might be extended with the </w:t>
      </w:r>
      <w:proofErr w:type="spellStart"/>
      <w:r w:rsidR="0079508B" w:rsidRPr="0079508B">
        <w:rPr>
          <w:i/>
          <w:iCs/>
        </w:rPr>
        <w:t>NeighSatelliteInfoNR</w:t>
      </w:r>
      <w:proofErr w:type="spellEnd"/>
      <w:r w:rsidR="0079508B">
        <w:t xml:space="preserve"> (which is to be introduced in Release 19 as per </w:t>
      </w:r>
      <w:r w:rsidR="0079508B">
        <w:fldChar w:fldCharType="begin"/>
      </w:r>
      <w:r w:rsidR="0079508B">
        <w:instrText xml:space="preserve"> REF _Ref186803459 \r \h </w:instrText>
      </w:r>
      <w:r w:rsidR="0079508B">
        <w:fldChar w:fldCharType="separate"/>
      </w:r>
      <w:r w:rsidR="0079508B">
        <w:t>[4]</w:t>
      </w:r>
      <w:r w:rsidR="0079508B">
        <w:fldChar w:fldCharType="end"/>
      </w:r>
      <w:r w:rsidR="0079508B">
        <w:t>).</w:t>
      </w:r>
    </w:p>
    <w:p w14:paraId="0E8E6A6B" w14:textId="1C6F4BA3" w:rsidR="00CF62DE" w:rsidRPr="0079508B" w:rsidRDefault="0079508B" w:rsidP="00CD1655">
      <w:pPr>
        <w:jc w:val="both"/>
        <w:rPr>
          <w:b/>
          <w:bCs/>
        </w:rPr>
      </w:pPr>
      <w:r w:rsidRPr="0079508B">
        <w:rPr>
          <w:b/>
          <w:bCs/>
        </w:rPr>
        <w:t xml:space="preserve">Proposal 1: RAN2 considers introducing the </w:t>
      </w:r>
      <w:proofErr w:type="spellStart"/>
      <w:r w:rsidRPr="001B09DC">
        <w:rPr>
          <w:b/>
          <w:bCs/>
          <w:i/>
          <w:iCs/>
        </w:rPr>
        <w:t>NeighSatelliteInfoNR</w:t>
      </w:r>
      <w:proofErr w:type="spellEnd"/>
      <w:r w:rsidRPr="0079508B">
        <w:rPr>
          <w:b/>
          <w:bCs/>
        </w:rPr>
        <w:t xml:space="preserve"> into </w:t>
      </w:r>
      <w:proofErr w:type="spellStart"/>
      <w:r w:rsidRPr="0079508B">
        <w:rPr>
          <w:b/>
          <w:bCs/>
          <w:i/>
          <w:iCs/>
        </w:rPr>
        <w:t>MeasObjectNR</w:t>
      </w:r>
      <w:proofErr w:type="spellEnd"/>
      <w:r w:rsidRPr="0079508B">
        <w:rPr>
          <w:b/>
          <w:bCs/>
        </w:rPr>
        <w:t xml:space="preserve"> in LTE RRC.</w:t>
      </w:r>
    </w:p>
    <w:p w14:paraId="70E20FE8" w14:textId="0901CC99" w:rsidR="0079508B" w:rsidRDefault="0079508B" w:rsidP="00CD1655">
      <w:pPr>
        <w:jc w:val="both"/>
      </w:pPr>
      <w:r>
        <w:t xml:space="preserve">A separate </w:t>
      </w:r>
      <w:r w:rsidR="00676DF9">
        <w:t>question that has to be answered is whether</w:t>
      </w:r>
      <w:r>
        <w:t xml:space="preserve"> the UE should </w:t>
      </w:r>
      <w:r w:rsidR="00676DF9">
        <w:t xml:space="preserve">be configured with Event B1 or Event B2 to measure and subsequently report the results regarding to the NR NTN neighbour. </w:t>
      </w:r>
      <w:r w:rsidR="001B09DC">
        <w:t>In our view that would be a natural step, considering Events B1 and B2 were defined for the purpose of inter-RAT measurement and reporting.</w:t>
      </w:r>
    </w:p>
    <w:p w14:paraId="39A4653E" w14:textId="77777777" w:rsidR="001B09DC" w:rsidRDefault="00676DF9" w:rsidP="00CD1655">
      <w:pPr>
        <w:jc w:val="both"/>
        <w:rPr>
          <w:b/>
          <w:bCs/>
        </w:rPr>
      </w:pPr>
      <w:r w:rsidRPr="001B09DC">
        <w:rPr>
          <w:b/>
          <w:bCs/>
        </w:rPr>
        <w:t xml:space="preserve">Proposal 2: </w:t>
      </w:r>
      <w:r w:rsidR="001B09DC" w:rsidRPr="001B09DC">
        <w:rPr>
          <w:b/>
          <w:bCs/>
        </w:rPr>
        <w:t>UE in E-UTRA TN cell measures and reports the results on NR NTN neighbours based on Event B1 or B2 configuration.</w:t>
      </w:r>
    </w:p>
    <w:p w14:paraId="76E8CF6B" w14:textId="77777777" w:rsidR="00123587" w:rsidRPr="001B09DC" w:rsidRDefault="00123587" w:rsidP="00CD1655">
      <w:pPr>
        <w:jc w:val="both"/>
        <w:rPr>
          <w:b/>
          <w:bCs/>
        </w:rPr>
      </w:pPr>
    </w:p>
    <w:p w14:paraId="7211552B" w14:textId="25C08E10" w:rsidR="004F1B27" w:rsidRDefault="004F1B27">
      <w:pPr>
        <w:pStyle w:val="Heading2"/>
      </w:pPr>
      <w:r>
        <w:lastRenderedPageBreak/>
        <w:t>2.2</w:t>
      </w:r>
      <w:r>
        <w:tab/>
        <w:t>Redirection from LTE TN to NR NTN</w:t>
      </w:r>
    </w:p>
    <w:p w14:paraId="6E240679" w14:textId="663ADE7D" w:rsidR="004F1B27" w:rsidRDefault="004F1B27" w:rsidP="004F1B27">
      <w:r>
        <w:t xml:space="preserve">At RAN2#128 the redirection from LTE TN to NR NTN has been discussed and the following has been concluded </w:t>
      </w:r>
      <w:r>
        <w:fldChar w:fldCharType="begin"/>
      </w:r>
      <w:r>
        <w:instrText xml:space="preserve"> REF _Ref185348199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4F1B27" w14:paraId="131AD684" w14:textId="77777777" w:rsidTr="004F1B27">
        <w:tc>
          <w:tcPr>
            <w:tcW w:w="9629" w:type="dxa"/>
          </w:tcPr>
          <w:p w14:paraId="4B298687" w14:textId="6A98DF1B" w:rsidR="004F1B27" w:rsidRPr="004F1B27" w:rsidRDefault="004F1B27" w:rsidP="004F1B27">
            <w:pPr>
              <w:pStyle w:val="ListParagraph"/>
              <w:numPr>
                <w:ilvl w:val="0"/>
                <w:numId w:val="38"/>
              </w:numPr>
              <w:rPr>
                <w:rFonts w:ascii="Arial" w:hAnsi="Arial" w:cs="Arial"/>
                <w:b/>
                <w:bCs/>
              </w:rPr>
            </w:pPr>
            <w:r w:rsidRPr="004F1B27">
              <w:rPr>
                <w:rFonts w:ascii="Arial" w:hAnsi="Arial" w:cs="Arial"/>
                <w:b/>
                <w:bCs/>
              </w:rPr>
              <w:t xml:space="preserve">RAN2 understands that the UE behaviour is currently not clear if the network includes a NR NTN frequency in </w:t>
            </w:r>
            <w:proofErr w:type="spellStart"/>
            <w:r w:rsidRPr="004F1B27">
              <w:rPr>
                <w:rFonts w:ascii="Arial" w:hAnsi="Arial" w:cs="Arial"/>
                <w:b/>
                <w:bCs/>
              </w:rPr>
              <w:t>redirectedCarrierInfo</w:t>
            </w:r>
            <w:proofErr w:type="spellEnd"/>
            <w:r w:rsidRPr="004F1B27">
              <w:rPr>
                <w:rFonts w:ascii="Arial" w:hAnsi="Arial" w:cs="Arial"/>
                <w:b/>
                <w:bCs/>
              </w:rPr>
              <w:t xml:space="preserve"> in the RRCConnectionRelease message in a TN cell. We can further discuss whether we want to clarify the UE behaviour and in case whether we need to introduce a new UE capability.</w:t>
            </w:r>
          </w:p>
        </w:tc>
      </w:tr>
    </w:tbl>
    <w:p w14:paraId="2F6FEA10" w14:textId="09712773" w:rsidR="004F1B27" w:rsidRDefault="004F1B27" w:rsidP="008F685D">
      <w:pPr>
        <w:jc w:val="both"/>
        <w:rPr>
          <w:i/>
          <w:iCs/>
        </w:rPr>
      </w:pPr>
      <w:r>
        <w:br/>
      </w:r>
      <w:r w:rsidR="003561DB">
        <w:t>As can be seen in the excerpt provided above, the topic is still considered to be open with the possibility to introduce a separate UE capability to describe such behaviour.</w:t>
      </w:r>
      <w:r w:rsidR="00A778F8">
        <w:t xml:space="preserve"> In our view it would be beneficial if LTE’s </w:t>
      </w:r>
      <w:proofErr w:type="spellStart"/>
      <w:r w:rsidR="00A778F8" w:rsidRPr="00A778F8">
        <w:rPr>
          <w:i/>
          <w:iCs/>
        </w:rPr>
        <w:t>redirectedCarrierInfo</w:t>
      </w:r>
      <w:proofErr w:type="spellEnd"/>
      <w:r w:rsidR="00A778F8">
        <w:t xml:space="preserve"> can also indicate NR NTN frequency and the corresponding UE’s behaviour is predictable (</w:t>
      </w:r>
      <w:r w:rsidR="00935825">
        <w:t xml:space="preserve">i.e. </w:t>
      </w:r>
      <w:r w:rsidR="00A778F8">
        <w:t>once the UE supports associated functionality/indicates the capability).</w:t>
      </w:r>
      <w:r w:rsidR="00B602B8">
        <w:t xml:space="preserve"> However, it is not necessary to indicate the </w:t>
      </w:r>
      <w:proofErr w:type="spellStart"/>
      <w:r w:rsidR="00B602B8" w:rsidRPr="000A0E57">
        <w:rPr>
          <w:i/>
          <w:iCs/>
        </w:rPr>
        <w:t>NeighSatelliteInfoNR</w:t>
      </w:r>
      <w:proofErr w:type="spellEnd"/>
      <w:r w:rsidR="00B602B8">
        <w:t xml:space="preserve"> directly in the </w:t>
      </w:r>
      <w:r w:rsidR="00B602B8" w:rsidRPr="00B602B8">
        <w:rPr>
          <w:i/>
          <w:iCs/>
        </w:rPr>
        <w:t>RRCConnectionRelease</w:t>
      </w:r>
      <w:r w:rsidR="00B602B8">
        <w:t xml:space="preserve">. Instead, if the NW wants to redirect the UE to NR NTN frequency, then the satellite assistance information in SIB33 should be valid for the carrier frequency indicated in </w:t>
      </w:r>
      <w:proofErr w:type="spellStart"/>
      <w:r w:rsidR="00B602B8" w:rsidRPr="00A778F8">
        <w:rPr>
          <w:i/>
          <w:iCs/>
        </w:rPr>
        <w:t>redirectedCarrierInfo</w:t>
      </w:r>
      <w:proofErr w:type="spellEnd"/>
      <w:r w:rsidR="00B602B8">
        <w:rPr>
          <w:i/>
          <w:iCs/>
        </w:rPr>
        <w:t xml:space="preserve">. </w:t>
      </w:r>
      <w:r w:rsidR="00B602B8" w:rsidRPr="00B602B8">
        <w:t>Thus, we make the following proposals:</w:t>
      </w:r>
    </w:p>
    <w:p w14:paraId="35EFCFA6" w14:textId="43E5A14B" w:rsidR="00B602B8" w:rsidRPr="00B602B8" w:rsidRDefault="00B602B8" w:rsidP="008F685D">
      <w:pPr>
        <w:jc w:val="both"/>
        <w:rPr>
          <w:b/>
          <w:bCs/>
        </w:rPr>
      </w:pPr>
      <w:r w:rsidRPr="00B602B8">
        <w:rPr>
          <w:b/>
          <w:bCs/>
        </w:rPr>
        <w:t xml:space="preserve">Proposal 3: LTE’s </w:t>
      </w:r>
      <w:proofErr w:type="spellStart"/>
      <w:r w:rsidRPr="00B602B8">
        <w:rPr>
          <w:b/>
          <w:bCs/>
          <w:i/>
          <w:iCs/>
        </w:rPr>
        <w:t>redirectedCarrierInfo</w:t>
      </w:r>
      <w:proofErr w:type="spellEnd"/>
      <w:r w:rsidRPr="00B602B8">
        <w:rPr>
          <w:b/>
          <w:bCs/>
        </w:rPr>
        <w:t xml:space="preserve"> in </w:t>
      </w:r>
      <w:r w:rsidRPr="00B602B8">
        <w:rPr>
          <w:b/>
          <w:bCs/>
          <w:i/>
          <w:iCs/>
        </w:rPr>
        <w:t>RRCConnectionRelease</w:t>
      </w:r>
      <w:r w:rsidRPr="00B602B8">
        <w:rPr>
          <w:b/>
          <w:bCs/>
        </w:rPr>
        <w:t xml:space="preserve"> can indicate NR NTN frequency and the UE supporting this functionality performs associated measurements for inter-RAT reselection.</w:t>
      </w:r>
    </w:p>
    <w:p w14:paraId="697DB5B8" w14:textId="19BAB1E8" w:rsidR="00B602B8" w:rsidRPr="00B602B8" w:rsidRDefault="00B602B8" w:rsidP="008F685D">
      <w:pPr>
        <w:jc w:val="both"/>
        <w:rPr>
          <w:b/>
          <w:bCs/>
        </w:rPr>
      </w:pPr>
      <w:r w:rsidRPr="00B602B8">
        <w:rPr>
          <w:b/>
          <w:bCs/>
        </w:rPr>
        <w:t xml:space="preserve">Proposal 4: The NW ensures the satellite assistance information in SIB33 is also valid for the carrier frequency indicated in </w:t>
      </w:r>
      <w:proofErr w:type="spellStart"/>
      <w:r w:rsidRPr="000A0E57">
        <w:rPr>
          <w:b/>
          <w:bCs/>
          <w:i/>
          <w:iCs/>
        </w:rPr>
        <w:t>redirectedCarrierInfo</w:t>
      </w:r>
      <w:proofErr w:type="spellEnd"/>
      <w:r w:rsidRPr="00B602B8">
        <w:rPr>
          <w:b/>
          <w:bCs/>
        </w:rPr>
        <w:t>.</w:t>
      </w:r>
    </w:p>
    <w:p w14:paraId="69B7B8E6" w14:textId="69E07FC9" w:rsidR="009339CB" w:rsidRPr="006E13D1" w:rsidRDefault="005A13AB" w:rsidP="00531EC4">
      <w:pPr>
        <w:pStyle w:val="Heading1"/>
        <w:jc w:val="both"/>
      </w:pPr>
      <w:r>
        <w:t>3</w:t>
      </w:r>
      <w:r w:rsidR="009339CB" w:rsidRPr="006E13D1">
        <w:tab/>
      </w:r>
      <w:r w:rsidR="009339CB">
        <w:t>Conclusion</w:t>
      </w:r>
    </w:p>
    <w:p w14:paraId="793C0E26" w14:textId="4562C7E1" w:rsidR="0054783B" w:rsidRDefault="009339CB" w:rsidP="00531EC4">
      <w:pPr>
        <w:jc w:val="both"/>
      </w:pPr>
      <w:r>
        <w:t>This document has made the following observations</w:t>
      </w:r>
      <w:r w:rsidR="00A778F8">
        <w:t xml:space="preserve"> and proposals</w:t>
      </w:r>
      <w:r w:rsidR="0054783B">
        <w:t>:</w:t>
      </w:r>
    </w:p>
    <w:p w14:paraId="57AEB243" w14:textId="77777777" w:rsidR="00214D6A" w:rsidRPr="00A861D5" w:rsidRDefault="00214D6A" w:rsidP="00214D6A">
      <w:pPr>
        <w:jc w:val="both"/>
        <w:rPr>
          <w:b/>
          <w:bCs/>
        </w:rPr>
      </w:pPr>
      <w:r w:rsidRPr="00A861D5">
        <w:rPr>
          <w:b/>
          <w:bCs/>
        </w:rPr>
        <w:t>Observation 1:</w:t>
      </w:r>
      <w:r>
        <w:rPr>
          <w:b/>
          <w:bCs/>
        </w:rPr>
        <w:t xml:space="preserve"> To address the new objective in the WID (</w:t>
      </w:r>
      <w:r w:rsidRPr="00691173">
        <w:rPr>
          <w:b/>
          <w:bCs/>
        </w:rPr>
        <w:t>RP-243115</w:t>
      </w:r>
      <w:r>
        <w:rPr>
          <w:b/>
          <w:bCs/>
        </w:rPr>
        <w:t xml:space="preserve">) RAN2 needs to </w:t>
      </w:r>
      <w:r w:rsidRPr="00A861D5">
        <w:rPr>
          <w:b/>
          <w:bCs/>
        </w:rPr>
        <w:t xml:space="preserve">decide how the UE acquires the information about NR NTN </w:t>
      </w:r>
      <w:r>
        <w:rPr>
          <w:b/>
          <w:bCs/>
        </w:rPr>
        <w:t xml:space="preserve">(e.g. </w:t>
      </w:r>
      <w:r w:rsidRPr="00A861D5">
        <w:rPr>
          <w:b/>
          <w:bCs/>
        </w:rPr>
        <w:t>cell’s polarization, ephemeris, etc</w:t>
      </w:r>
      <w:r>
        <w:rPr>
          <w:b/>
          <w:bCs/>
        </w:rPr>
        <w:t>.) while it is being served by the E-UTRA TN cell.</w:t>
      </w:r>
    </w:p>
    <w:p w14:paraId="3102B3C1" w14:textId="77777777" w:rsidR="00214D6A" w:rsidRPr="00E91A33" w:rsidRDefault="00214D6A" w:rsidP="00214D6A">
      <w:pPr>
        <w:jc w:val="both"/>
        <w:rPr>
          <w:b/>
          <w:bCs/>
        </w:rPr>
      </w:pPr>
      <w:r w:rsidRPr="00E91A33">
        <w:rPr>
          <w:b/>
          <w:bCs/>
        </w:rPr>
        <w:t>Observation 2: The solution RAN2 needs to define for CONNECTED mode does not include multiple SMTCs.</w:t>
      </w:r>
    </w:p>
    <w:p w14:paraId="3371E910" w14:textId="77777777" w:rsidR="00214D6A" w:rsidRPr="008054A5" w:rsidRDefault="00214D6A" w:rsidP="00214D6A">
      <w:pPr>
        <w:jc w:val="both"/>
        <w:rPr>
          <w:b/>
          <w:bCs/>
        </w:rPr>
      </w:pPr>
      <w:r w:rsidRPr="008054A5">
        <w:rPr>
          <w:b/>
          <w:bCs/>
        </w:rPr>
        <w:t>Observation 3:</w:t>
      </w:r>
      <w:r>
        <w:rPr>
          <w:b/>
          <w:bCs/>
        </w:rPr>
        <w:t xml:space="preserve"> When designing Event D2 in Release 18 it </w:t>
      </w:r>
      <w:r w:rsidRPr="00EE5776">
        <w:rPr>
          <w:b/>
          <w:bCs/>
        </w:rPr>
        <w:t>was concluded that the UE should obtain all necessary components directly from RRC Reconfiguration (i.e. dedicated message) and it should not try to match some information from SIB19 with the corresponding information in dedicated message</w:t>
      </w:r>
      <w:r>
        <w:rPr>
          <w:b/>
          <w:bCs/>
        </w:rPr>
        <w:t>.</w:t>
      </w:r>
    </w:p>
    <w:p w14:paraId="3120BE3C" w14:textId="37D4F186" w:rsidR="00214D6A" w:rsidRPr="000A0E57" w:rsidRDefault="00214D6A" w:rsidP="0038204D">
      <w:pPr>
        <w:jc w:val="both"/>
        <w:rPr>
          <w:b/>
          <w:bCs/>
          <w:i/>
          <w:iCs/>
        </w:rPr>
      </w:pPr>
      <w:r w:rsidRPr="00701781">
        <w:rPr>
          <w:b/>
          <w:bCs/>
        </w:rPr>
        <w:t xml:space="preserve">Observation 4: As per NR RRC, </w:t>
      </w:r>
      <w:r w:rsidRPr="00701781">
        <w:rPr>
          <w:b/>
          <w:bCs/>
          <w:i/>
          <w:iCs/>
        </w:rPr>
        <w:t>NTN-</w:t>
      </w:r>
      <w:proofErr w:type="spellStart"/>
      <w:r w:rsidRPr="00701781">
        <w:rPr>
          <w:b/>
          <w:bCs/>
          <w:i/>
          <w:iCs/>
        </w:rPr>
        <w:t>NeighbourCellInfo</w:t>
      </w:r>
      <w:proofErr w:type="spellEnd"/>
      <w:r w:rsidRPr="00701781">
        <w:rPr>
          <w:b/>
          <w:bCs/>
        </w:rPr>
        <w:t xml:space="preserve"> can be given as a part of </w:t>
      </w:r>
      <w:proofErr w:type="spellStart"/>
      <w:r w:rsidRPr="00701781">
        <w:rPr>
          <w:b/>
          <w:bCs/>
          <w:i/>
          <w:iCs/>
        </w:rPr>
        <w:t>MeasObjectNR</w:t>
      </w:r>
      <w:proofErr w:type="spellEnd"/>
      <w:r w:rsidRPr="00701781">
        <w:rPr>
          <w:b/>
          <w:bCs/>
        </w:rPr>
        <w:t xml:space="preserve"> if measurement object is configured by the serving cell for Earth-moving NTN neighbour </w:t>
      </w:r>
      <w:r>
        <w:rPr>
          <w:b/>
          <w:bCs/>
        </w:rPr>
        <w:t xml:space="preserve">measurements </w:t>
      </w:r>
      <w:r w:rsidRPr="00701781">
        <w:rPr>
          <w:b/>
          <w:bCs/>
        </w:rPr>
        <w:t xml:space="preserve">associated with the reporting configuration with </w:t>
      </w:r>
      <w:r w:rsidRPr="00701781">
        <w:rPr>
          <w:b/>
          <w:bCs/>
          <w:i/>
          <w:iCs/>
        </w:rPr>
        <w:t>EventD2</w:t>
      </w:r>
      <w:r w:rsidRPr="00701781">
        <w:rPr>
          <w:b/>
          <w:bCs/>
        </w:rPr>
        <w:t xml:space="preserve"> or </w:t>
      </w:r>
      <w:r w:rsidRPr="00701781">
        <w:rPr>
          <w:b/>
          <w:bCs/>
          <w:i/>
          <w:iCs/>
        </w:rPr>
        <w:t>condEventD2.</w:t>
      </w:r>
    </w:p>
    <w:p w14:paraId="560135E0" w14:textId="5006D4DB" w:rsidR="00214D6A" w:rsidRDefault="00214D6A" w:rsidP="0038204D">
      <w:pPr>
        <w:jc w:val="both"/>
        <w:rPr>
          <w:b/>
          <w:bCs/>
        </w:rPr>
      </w:pPr>
      <w:r w:rsidRPr="003F78FD">
        <w:rPr>
          <w:b/>
          <w:bCs/>
        </w:rPr>
        <w:t xml:space="preserve">Observation 5: It is not optimal to provide the information elements of excessive size (such as an ephemeris) in dedicated signalling, especially when </w:t>
      </w:r>
      <w:r>
        <w:rPr>
          <w:b/>
          <w:bCs/>
        </w:rPr>
        <w:t>these</w:t>
      </w:r>
      <w:r w:rsidRPr="003F78FD">
        <w:rPr>
          <w:b/>
          <w:bCs/>
        </w:rPr>
        <w:t xml:space="preserve"> overlap with the content of LTE system information block</w:t>
      </w:r>
      <w:r>
        <w:rPr>
          <w:b/>
          <w:bCs/>
        </w:rPr>
        <w:t xml:space="preserve"> (e.g. </w:t>
      </w:r>
      <w:proofErr w:type="spellStart"/>
      <w:r w:rsidRPr="00DB16EB">
        <w:rPr>
          <w:b/>
          <w:bCs/>
          <w:i/>
          <w:iCs/>
        </w:rPr>
        <w:t>NeighSatelliteInfoNR</w:t>
      </w:r>
      <w:proofErr w:type="spellEnd"/>
      <w:r>
        <w:rPr>
          <w:b/>
          <w:bCs/>
        </w:rPr>
        <w:t xml:space="preserve"> in SIB33, as per R2-2407617)</w:t>
      </w:r>
      <w:r w:rsidRPr="003F78FD">
        <w:rPr>
          <w:b/>
          <w:bCs/>
        </w:rPr>
        <w:t>.</w:t>
      </w:r>
    </w:p>
    <w:p w14:paraId="573414FC" w14:textId="445D9A9C" w:rsidR="0038204D" w:rsidRDefault="0038204D" w:rsidP="0038204D">
      <w:pPr>
        <w:jc w:val="both"/>
        <w:rPr>
          <w:b/>
          <w:bCs/>
        </w:rPr>
      </w:pPr>
      <w:r w:rsidRPr="0079508B">
        <w:rPr>
          <w:b/>
          <w:bCs/>
        </w:rPr>
        <w:t xml:space="preserve">Proposal 1: RAN2 considers introducing the </w:t>
      </w:r>
      <w:proofErr w:type="spellStart"/>
      <w:r w:rsidRPr="001B09DC">
        <w:rPr>
          <w:b/>
          <w:bCs/>
          <w:i/>
          <w:iCs/>
        </w:rPr>
        <w:t>NeighSatelliteInfoNR</w:t>
      </w:r>
      <w:proofErr w:type="spellEnd"/>
      <w:r w:rsidRPr="0079508B">
        <w:rPr>
          <w:b/>
          <w:bCs/>
        </w:rPr>
        <w:t xml:space="preserve"> into </w:t>
      </w:r>
      <w:proofErr w:type="spellStart"/>
      <w:r w:rsidRPr="0079508B">
        <w:rPr>
          <w:b/>
          <w:bCs/>
          <w:i/>
          <w:iCs/>
        </w:rPr>
        <w:t>MeasObjectNR</w:t>
      </w:r>
      <w:proofErr w:type="spellEnd"/>
      <w:r w:rsidRPr="0079508B">
        <w:rPr>
          <w:b/>
          <w:bCs/>
        </w:rPr>
        <w:t xml:space="preserve"> in LTE RRC.</w:t>
      </w:r>
    </w:p>
    <w:p w14:paraId="1925E01A" w14:textId="66DD69E3" w:rsidR="0038204D" w:rsidRDefault="0038204D" w:rsidP="0038204D">
      <w:pPr>
        <w:jc w:val="both"/>
        <w:rPr>
          <w:b/>
          <w:bCs/>
        </w:rPr>
      </w:pPr>
      <w:r w:rsidRPr="001B09DC">
        <w:rPr>
          <w:b/>
          <w:bCs/>
        </w:rPr>
        <w:t>Proposal 2: UE in E-UTRA TN cell measures and reports the results on NR NTN neighbours based on Event B1 or B2 configuration.</w:t>
      </w:r>
    </w:p>
    <w:p w14:paraId="15C53025" w14:textId="60863ED8" w:rsidR="0038204D" w:rsidRPr="00B602B8" w:rsidRDefault="0038204D" w:rsidP="0038204D">
      <w:pPr>
        <w:jc w:val="both"/>
        <w:rPr>
          <w:b/>
          <w:bCs/>
        </w:rPr>
      </w:pPr>
      <w:r w:rsidRPr="00B602B8">
        <w:rPr>
          <w:b/>
          <w:bCs/>
        </w:rPr>
        <w:t xml:space="preserve">Proposal 3: LTE’s </w:t>
      </w:r>
      <w:proofErr w:type="spellStart"/>
      <w:r w:rsidRPr="00B602B8">
        <w:rPr>
          <w:b/>
          <w:bCs/>
          <w:i/>
          <w:iCs/>
        </w:rPr>
        <w:t>redirectedCarrierInfo</w:t>
      </w:r>
      <w:proofErr w:type="spellEnd"/>
      <w:r w:rsidRPr="00B602B8">
        <w:rPr>
          <w:b/>
          <w:bCs/>
        </w:rPr>
        <w:t xml:space="preserve"> in </w:t>
      </w:r>
      <w:r w:rsidRPr="00B602B8">
        <w:rPr>
          <w:b/>
          <w:bCs/>
          <w:i/>
          <w:iCs/>
        </w:rPr>
        <w:t>RRCConnectionRelease</w:t>
      </w:r>
      <w:r w:rsidRPr="00B602B8">
        <w:rPr>
          <w:b/>
          <w:bCs/>
        </w:rPr>
        <w:t xml:space="preserve"> can indicate NR NTN frequency and the UE supporting this functionality performs associated measurements for inter-RAT reselection.</w:t>
      </w:r>
    </w:p>
    <w:p w14:paraId="76830482" w14:textId="7A0D7144" w:rsidR="0038204D" w:rsidRDefault="0038204D" w:rsidP="00531EC4">
      <w:pPr>
        <w:jc w:val="both"/>
        <w:rPr>
          <w:b/>
          <w:bCs/>
        </w:rPr>
      </w:pPr>
      <w:r w:rsidRPr="00B602B8">
        <w:rPr>
          <w:b/>
          <w:bCs/>
        </w:rPr>
        <w:t xml:space="preserve">Proposal 4: The NW ensures the satellite assistance information in SIB33 is also valid for the carrier frequency indicated in </w:t>
      </w:r>
      <w:proofErr w:type="spellStart"/>
      <w:r w:rsidRPr="00FC2ACD">
        <w:rPr>
          <w:b/>
          <w:bCs/>
          <w:i/>
          <w:iCs/>
        </w:rPr>
        <w:t>redirectedCarrierInfo</w:t>
      </w:r>
      <w:proofErr w:type="spellEnd"/>
      <w:r w:rsidRPr="00B602B8">
        <w:rPr>
          <w:b/>
          <w:bCs/>
        </w:rPr>
        <w:t>.</w:t>
      </w:r>
    </w:p>
    <w:p w14:paraId="6DE0504A" w14:textId="77777777" w:rsidR="00123587" w:rsidRPr="000A0E57" w:rsidRDefault="00123587" w:rsidP="00531EC4">
      <w:pPr>
        <w:jc w:val="both"/>
        <w:rPr>
          <w:b/>
          <w:bCs/>
        </w:rPr>
      </w:pPr>
    </w:p>
    <w:p w14:paraId="79084960" w14:textId="77777777" w:rsidR="00F962E6" w:rsidRPr="00451A30" w:rsidRDefault="00F962E6" w:rsidP="00531EC4">
      <w:pPr>
        <w:pStyle w:val="Heading1"/>
        <w:jc w:val="both"/>
      </w:pPr>
      <w:r w:rsidRPr="00451A30">
        <w:lastRenderedPageBreak/>
        <w:t>References</w:t>
      </w:r>
    </w:p>
    <w:p w14:paraId="6EEE4092" w14:textId="232C0FA5" w:rsidR="00CE67AD" w:rsidRDefault="002303AE" w:rsidP="0003034D">
      <w:pPr>
        <w:pStyle w:val="ListParagraph"/>
        <w:numPr>
          <w:ilvl w:val="0"/>
          <w:numId w:val="21"/>
        </w:numPr>
        <w:jc w:val="both"/>
      </w:pPr>
      <w:bookmarkStart w:id="2" w:name="_Ref173247608"/>
      <w:bookmarkStart w:id="3" w:name="_Ref172537527"/>
      <w:bookmarkStart w:id="4" w:name="_Ref185347846"/>
      <w:r w:rsidRPr="000A0E57">
        <w:t>RP-2</w:t>
      </w:r>
      <w:r w:rsidR="00AE3105" w:rsidRPr="000A0E57">
        <w:t>4</w:t>
      </w:r>
      <w:r w:rsidR="00484996" w:rsidRPr="000A0E57">
        <w:t>3115</w:t>
      </w:r>
      <w:r w:rsidRPr="00484996">
        <w:tab/>
      </w:r>
      <w:bookmarkEnd w:id="2"/>
      <w:bookmarkEnd w:id="3"/>
      <w:r w:rsidR="0003034D" w:rsidRPr="00484996">
        <w:rPr>
          <w:i/>
          <w:iCs/>
        </w:rPr>
        <w:t>Revised WID: Inter RAT mobility support from E-UTRAN TN to NR-NTN</w:t>
      </w:r>
      <w:r w:rsidR="0003034D" w:rsidRPr="00484996">
        <w:t xml:space="preserve"> 3GPP TSG RAN Meeting #106 Madrid</w:t>
      </w:r>
      <w:r w:rsidR="0003034D">
        <w:t>, Spain 9 - 12, 2024</w:t>
      </w:r>
      <w:bookmarkEnd w:id="4"/>
    </w:p>
    <w:p w14:paraId="627EA31D" w14:textId="07C76B9E" w:rsidR="0003034D" w:rsidRDefault="0003034D" w:rsidP="0003034D">
      <w:pPr>
        <w:pStyle w:val="ListParagraph"/>
        <w:numPr>
          <w:ilvl w:val="0"/>
          <w:numId w:val="21"/>
        </w:numPr>
        <w:jc w:val="both"/>
      </w:pPr>
      <w:bookmarkStart w:id="5" w:name="_Ref185348199"/>
      <w:r w:rsidRPr="0003034D">
        <w:t>R2-2410913</w:t>
      </w:r>
      <w:r>
        <w:t xml:space="preserve"> </w:t>
      </w:r>
      <w:r w:rsidRPr="0003034D">
        <w:rPr>
          <w:i/>
          <w:iCs/>
        </w:rPr>
        <w:t xml:space="preserve">Report from Break-out session on NR-NTN and IoT-NTN </w:t>
      </w:r>
      <w:r>
        <w:t>3GPP TSG-RAN WG2 Meeting #128 Orlando, USA, Nov 18th – 22nd, 2024</w:t>
      </w:r>
      <w:bookmarkEnd w:id="5"/>
    </w:p>
    <w:p w14:paraId="63C782D9" w14:textId="7A95A1E7" w:rsidR="00483597" w:rsidRDefault="00483597" w:rsidP="00BE5297">
      <w:pPr>
        <w:pStyle w:val="ListParagraph"/>
        <w:numPr>
          <w:ilvl w:val="0"/>
          <w:numId w:val="21"/>
        </w:numPr>
        <w:jc w:val="both"/>
      </w:pPr>
      <w:bookmarkStart w:id="6" w:name="_Ref181305003"/>
      <w:bookmarkStart w:id="7" w:name="_Ref186791909"/>
      <w:r>
        <w:t>3GPP TS 38.331</w:t>
      </w:r>
      <w:bookmarkEnd w:id="6"/>
      <w:r w:rsidR="00EC3D60" w:rsidRPr="00EC3D60">
        <w:t xml:space="preserve"> </w:t>
      </w:r>
      <w:r w:rsidR="00EC3D60" w:rsidRPr="00BF7AD3">
        <w:rPr>
          <w:i/>
          <w:iCs/>
        </w:rPr>
        <w:t>NR; Radio Resource Control (RRC); Protocol specification</w:t>
      </w:r>
      <w:r w:rsidR="00CF62DE">
        <w:t xml:space="preserve">, </w:t>
      </w:r>
      <w:r w:rsidR="00CF62DE" w:rsidRPr="00CF62DE">
        <w:t>V18.4.0 (2024-12)</w:t>
      </w:r>
      <w:bookmarkEnd w:id="7"/>
    </w:p>
    <w:p w14:paraId="2E939F99" w14:textId="57E5B7B2" w:rsidR="00BF7AD3" w:rsidRDefault="00BF7AD3" w:rsidP="00BF7AD3">
      <w:pPr>
        <w:pStyle w:val="ListParagraph"/>
        <w:numPr>
          <w:ilvl w:val="0"/>
          <w:numId w:val="21"/>
        </w:numPr>
        <w:jc w:val="both"/>
      </w:pPr>
      <w:bookmarkStart w:id="8" w:name="_Ref186803459"/>
      <w:r w:rsidRPr="00BF7AD3">
        <w:t>R2-2407617</w:t>
      </w:r>
      <w:r>
        <w:t xml:space="preserve"> </w:t>
      </w:r>
      <w:r w:rsidRPr="00BF7AD3">
        <w:rPr>
          <w:i/>
          <w:iCs/>
        </w:rPr>
        <w:t>Introduction of LTE TN to NR NTN IDLE mode mobility</w:t>
      </w:r>
      <w:r>
        <w:t xml:space="preserve"> 3GPP TSG-RAN2 Meeting #127 Maastricht, Netherlands, 19th - 23rd Aug 2024</w:t>
      </w:r>
      <w:bookmarkEnd w:id="8"/>
    </w:p>
    <w:p w14:paraId="5140A0B8" w14:textId="4A8612F6" w:rsidR="008034A1" w:rsidRDefault="008034A1" w:rsidP="008034A1">
      <w:pPr>
        <w:pStyle w:val="ListParagraph"/>
        <w:numPr>
          <w:ilvl w:val="0"/>
          <w:numId w:val="21"/>
        </w:numPr>
        <w:jc w:val="both"/>
      </w:pPr>
      <w:bookmarkStart w:id="9" w:name="_Ref186805896"/>
      <w:r>
        <w:t xml:space="preserve">3GPP TS 36.331 </w:t>
      </w:r>
      <w:r w:rsidRPr="00FA717F">
        <w:rPr>
          <w:i/>
          <w:iCs/>
        </w:rPr>
        <w:t>Evolved Universal Terrestrial Radio Access (E-UTRA); Radio Resource Control (RRC); Protocol specification</w:t>
      </w:r>
      <w:r>
        <w:t xml:space="preserve"> </w:t>
      </w:r>
      <w:r w:rsidRPr="00CF62DE">
        <w:t>V18.4.0 (2024-12)</w:t>
      </w:r>
      <w:bookmarkEnd w:id="9"/>
    </w:p>
    <w:p w14:paraId="12632701" w14:textId="77777777" w:rsidR="00505CB9" w:rsidRDefault="00505CB9" w:rsidP="00505CB9">
      <w:pPr>
        <w:jc w:val="both"/>
      </w:pPr>
    </w:p>
    <w:p w14:paraId="626DC8A9" w14:textId="77777777" w:rsidR="00BE5297" w:rsidRDefault="00BE5297" w:rsidP="00BE5297">
      <w:pPr>
        <w:pStyle w:val="ListParagraph"/>
        <w:jc w:val="both"/>
      </w:pPr>
    </w:p>
    <w:sectPr w:rsidR="00BE5297" w:rsidSect="002F514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D9D4A" w14:textId="77777777" w:rsidR="006820FD" w:rsidRDefault="006820FD">
      <w:r>
        <w:separator/>
      </w:r>
    </w:p>
  </w:endnote>
  <w:endnote w:type="continuationSeparator" w:id="0">
    <w:p w14:paraId="45CCD127" w14:textId="77777777" w:rsidR="006820FD" w:rsidRDefault="006820FD">
      <w:r>
        <w:continuationSeparator/>
      </w:r>
    </w:p>
  </w:endnote>
  <w:endnote w:type="continuationNotice" w:id="1">
    <w:p w14:paraId="29E55559" w14:textId="77777777" w:rsidR="006820FD" w:rsidRDefault="00682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E01E6" w14:textId="77777777" w:rsidR="006820FD" w:rsidRDefault="006820FD">
      <w:r>
        <w:separator/>
      </w:r>
    </w:p>
  </w:footnote>
  <w:footnote w:type="continuationSeparator" w:id="0">
    <w:p w14:paraId="4BB78CD2" w14:textId="77777777" w:rsidR="006820FD" w:rsidRDefault="006820FD">
      <w:r>
        <w:continuationSeparator/>
      </w:r>
    </w:p>
  </w:footnote>
  <w:footnote w:type="continuationNotice" w:id="1">
    <w:p w14:paraId="77FB97B8" w14:textId="77777777" w:rsidR="006820FD" w:rsidRDefault="006820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50EFC"/>
    <w:multiLevelType w:val="hybridMultilevel"/>
    <w:tmpl w:val="1456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6F2248"/>
    <w:multiLevelType w:val="hybridMultilevel"/>
    <w:tmpl w:val="7ACC5732"/>
    <w:lvl w:ilvl="0" w:tplc="FCF6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B640E00"/>
    <w:multiLevelType w:val="hybridMultilevel"/>
    <w:tmpl w:val="B694F730"/>
    <w:lvl w:ilvl="0" w:tplc="A190B79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83890"/>
    <w:multiLevelType w:val="hybridMultilevel"/>
    <w:tmpl w:val="AC302952"/>
    <w:lvl w:ilvl="0" w:tplc="37FAE5F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3480C0E"/>
    <w:multiLevelType w:val="hybridMultilevel"/>
    <w:tmpl w:val="B8C4D49A"/>
    <w:lvl w:ilvl="0" w:tplc="20DE4488">
      <w:start w:val="1"/>
      <w:numFmt w:val="bullet"/>
      <w:lvlText w:val=""/>
      <w:lvlJc w:val="left"/>
      <w:pPr>
        <w:ind w:left="1440" w:hanging="360"/>
      </w:pPr>
      <w:rPr>
        <w:rFonts w:ascii="Symbol" w:hAnsi="Symbol"/>
      </w:rPr>
    </w:lvl>
    <w:lvl w:ilvl="1" w:tplc="B442E3FC">
      <w:start w:val="1"/>
      <w:numFmt w:val="bullet"/>
      <w:lvlText w:val=""/>
      <w:lvlJc w:val="left"/>
      <w:pPr>
        <w:ind w:left="2160" w:hanging="360"/>
      </w:pPr>
      <w:rPr>
        <w:rFonts w:ascii="Symbol" w:hAnsi="Symbol"/>
      </w:rPr>
    </w:lvl>
    <w:lvl w:ilvl="2" w:tplc="7F2A0E1A">
      <w:start w:val="1"/>
      <w:numFmt w:val="bullet"/>
      <w:lvlText w:val=""/>
      <w:lvlJc w:val="left"/>
      <w:pPr>
        <w:ind w:left="1440" w:hanging="360"/>
      </w:pPr>
      <w:rPr>
        <w:rFonts w:ascii="Symbol" w:hAnsi="Symbol"/>
      </w:rPr>
    </w:lvl>
    <w:lvl w:ilvl="3" w:tplc="44447868">
      <w:start w:val="1"/>
      <w:numFmt w:val="bullet"/>
      <w:lvlText w:val=""/>
      <w:lvlJc w:val="left"/>
      <w:pPr>
        <w:ind w:left="1440" w:hanging="360"/>
      </w:pPr>
      <w:rPr>
        <w:rFonts w:ascii="Symbol" w:hAnsi="Symbol"/>
      </w:rPr>
    </w:lvl>
    <w:lvl w:ilvl="4" w:tplc="8BF6C71E">
      <w:start w:val="1"/>
      <w:numFmt w:val="bullet"/>
      <w:lvlText w:val=""/>
      <w:lvlJc w:val="left"/>
      <w:pPr>
        <w:ind w:left="1440" w:hanging="360"/>
      </w:pPr>
      <w:rPr>
        <w:rFonts w:ascii="Symbol" w:hAnsi="Symbol"/>
      </w:rPr>
    </w:lvl>
    <w:lvl w:ilvl="5" w:tplc="657480B8">
      <w:start w:val="1"/>
      <w:numFmt w:val="bullet"/>
      <w:lvlText w:val=""/>
      <w:lvlJc w:val="left"/>
      <w:pPr>
        <w:ind w:left="1440" w:hanging="360"/>
      </w:pPr>
      <w:rPr>
        <w:rFonts w:ascii="Symbol" w:hAnsi="Symbol"/>
      </w:rPr>
    </w:lvl>
    <w:lvl w:ilvl="6" w:tplc="762E3FF6">
      <w:start w:val="1"/>
      <w:numFmt w:val="bullet"/>
      <w:lvlText w:val=""/>
      <w:lvlJc w:val="left"/>
      <w:pPr>
        <w:ind w:left="1440" w:hanging="360"/>
      </w:pPr>
      <w:rPr>
        <w:rFonts w:ascii="Symbol" w:hAnsi="Symbol"/>
      </w:rPr>
    </w:lvl>
    <w:lvl w:ilvl="7" w:tplc="5650CCA2">
      <w:start w:val="1"/>
      <w:numFmt w:val="bullet"/>
      <w:lvlText w:val=""/>
      <w:lvlJc w:val="left"/>
      <w:pPr>
        <w:ind w:left="1440" w:hanging="360"/>
      </w:pPr>
      <w:rPr>
        <w:rFonts w:ascii="Symbol" w:hAnsi="Symbol"/>
      </w:rPr>
    </w:lvl>
    <w:lvl w:ilvl="8" w:tplc="0F74145E">
      <w:start w:val="1"/>
      <w:numFmt w:val="bullet"/>
      <w:lvlText w:val=""/>
      <w:lvlJc w:val="left"/>
      <w:pPr>
        <w:ind w:left="1440" w:hanging="360"/>
      </w:pPr>
      <w:rPr>
        <w:rFonts w:ascii="Symbol" w:hAnsi="Symbol"/>
      </w:rPr>
    </w:lvl>
  </w:abstractNum>
  <w:abstractNum w:abstractNumId="29"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33"/>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7"/>
  </w:num>
  <w:num w:numId="20" w16cid:durableId="1969775248">
    <w:abstractNumId w:val="33"/>
  </w:num>
  <w:num w:numId="21" w16cid:durableId="1100298529">
    <w:abstractNumId w:val="32"/>
  </w:num>
  <w:num w:numId="22" w16cid:durableId="193007096">
    <w:abstractNumId w:val="14"/>
  </w:num>
  <w:num w:numId="23" w16cid:durableId="472908134">
    <w:abstractNumId w:val="27"/>
  </w:num>
  <w:num w:numId="24" w16cid:durableId="283198859">
    <w:abstractNumId w:val="29"/>
  </w:num>
  <w:num w:numId="25" w16cid:durableId="1450316911">
    <w:abstractNumId w:val="13"/>
  </w:num>
  <w:num w:numId="26" w16cid:durableId="1593737175">
    <w:abstractNumId w:val="20"/>
  </w:num>
  <w:num w:numId="27" w16cid:durableId="1587958594">
    <w:abstractNumId w:val="16"/>
  </w:num>
  <w:num w:numId="28" w16cid:durableId="335033584">
    <w:abstractNumId w:val="34"/>
  </w:num>
  <w:num w:numId="29" w16cid:durableId="619261675">
    <w:abstractNumId w:val="21"/>
  </w:num>
  <w:num w:numId="30" w16cid:durableId="1370759099">
    <w:abstractNumId w:val="31"/>
  </w:num>
  <w:num w:numId="31" w16cid:durableId="1671908847">
    <w:abstractNumId w:val="30"/>
  </w:num>
  <w:num w:numId="32" w16cid:durableId="230389207">
    <w:abstractNumId w:val="26"/>
  </w:num>
  <w:num w:numId="33" w16cid:durableId="1699503662">
    <w:abstractNumId w:val="28"/>
  </w:num>
  <w:num w:numId="34" w16cid:durableId="1900553114">
    <w:abstractNumId w:val="12"/>
  </w:num>
  <w:num w:numId="35" w16cid:durableId="1842964201">
    <w:abstractNumId w:val="25"/>
  </w:num>
  <w:num w:numId="36" w16cid:durableId="1738015702">
    <w:abstractNumId w:val="22"/>
  </w:num>
  <w:num w:numId="37" w16cid:durableId="176120240">
    <w:abstractNumId w:val="35"/>
  </w:num>
  <w:num w:numId="38" w16cid:durableId="2071103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A16"/>
    <w:rsid w:val="000034DA"/>
    <w:rsid w:val="00004C47"/>
    <w:rsid w:val="00006C10"/>
    <w:rsid w:val="00007FBC"/>
    <w:rsid w:val="000121FC"/>
    <w:rsid w:val="00012AEE"/>
    <w:rsid w:val="0001584D"/>
    <w:rsid w:val="000158A7"/>
    <w:rsid w:val="00016557"/>
    <w:rsid w:val="00016FB2"/>
    <w:rsid w:val="00017642"/>
    <w:rsid w:val="00020034"/>
    <w:rsid w:val="00023215"/>
    <w:rsid w:val="00023C40"/>
    <w:rsid w:val="0002507D"/>
    <w:rsid w:val="0003034D"/>
    <w:rsid w:val="00032E51"/>
    <w:rsid w:val="00033397"/>
    <w:rsid w:val="00034765"/>
    <w:rsid w:val="0003783A"/>
    <w:rsid w:val="00040095"/>
    <w:rsid w:val="00041CC2"/>
    <w:rsid w:val="00043311"/>
    <w:rsid w:val="000448D0"/>
    <w:rsid w:val="0004517E"/>
    <w:rsid w:val="00054A85"/>
    <w:rsid w:val="00065268"/>
    <w:rsid w:val="00073C9C"/>
    <w:rsid w:val="00074C39"/>
    <w:rsid w:val="00076412"/>
    <w:rsid w:val="00080512"/>
    <w:rsid w:val="00082F48"/>
    <w:rsid w:val="00083242"/>
    <w:rsid w:val="00083BE6"/>
    <w:rsid w:val="00083F05"/>
    <w:rsid w:val="00087BF1"/>
    <w:rsid w:val="00090253"/>
    <w:rsid w:val="00090468"/>
    <w:rsid w:val="00090E70"/>
    <w:rsid w:val="00094568"/>
    <w:rsid w:val="0009473A"/>
    <w:rsid w:val="0009477C"/>
    <w:rsid w:val="00096819"/>
    <w:rsid w:val="000A07E0"/>
    <w:rsid w:val="000A0E57"/>
    <w:rsid w:val="000A1EDA"/>
    <w:rsid w:val="000A5AA5"/>
    <w:rsid w:val="000B0AEE"/>
    <w:rsid w:val="000B2396"/>
    <w:rsid w:val="000B4BE7"/>
    <w:rsid w:val="000B7BCF"/>
    <w:rsid w:val="000C1A09"/>
    <w:rsid w:val="000C3FEF"/>
    <w:rsid w:val="000C522B"/>
    <w:rsid w:val="000D1EEE"/>
    <w:rsid w:val="000D3937"/>
    <w:rsid w:val="000D58AB"/>
    <w:rsid w:val="000E256D"/>
    <w:rsid w:val="000E38CA"/>
    <w:rsid w:val="000E6694"/>
    <w:rsid w:val="000E7FD4"/>
    <w:rsid w:val="000F4364"/>
    <w:rsid w:val="000F56A6"/>
    <w:rsid w:val="000F7677"/>
    <w:rsid w:val="00102965"/>
    <w:rsid w:val="001029FF"/>
    <w:rsid w:val="0010525D"/>
    <w:rsid w:val="00105839"/>
    <w:rsid w:val="0010679B"/>
    <w:rsid w:val="00106C5C"/>
    <w:rsid w:val="001072F9"/>
    <w:rsid w:val="00111E18"/>
    <w:rsid w:val="00112210"/>
    <w:rsid w:val="00112F1A"/>
    <w:rsid w:val="00114A9F"/>
    <w:rsid w:val="00114B1A"/>
    <w:rsid w:val="00115F60"/>
    <w:rsid w:val="0012145F"/>
    <w:rsid w:val="00123207"/>
    <w:rsid w:val="00123587"/>
    <w:rsid w:val="0012610D"/>
    <w:rsid w:val="0012657C"/>
    <w:rsid w:val="001318EB"/>
    <w:rsid w:val="00141EFC"/>
    <w:rsid w:val="00145075"/>
    <w:rsid w:val="001464DE"/>
    <w:rsid w:val="00146521"/>
    <w:rsid w:val="00147477"/>
    <w:rsid w:val="0015333B"/>
    <w:rsid w:val="00153DC0"/>
    <w:rsid w:val="00155D65"/>
    <w:rsid w:val="00163147"/>
    <w:rsid w:val="0016317C"/>
    <w:rsid w:val="00164402"/>
    <w:rsid w:val="0016554A"/>
    <w:rsid w:val="001704FE"/>
    <w:rsid w:val="0017183E"/>
    <w:rsid w:val="001741A0"/>
    <w:rsid w:val="00175CB2"/>
    <w:rsid w:val="00175FA0"/>
    <w:rsid w:val="00176273"/>
    <w:rsid w:val="00180336"/>
    <w:rsid w:val="00181575"/>
    <w:rsid w:val="00181BAB"/>
    <w:rsid w:val="0018445A"/>
    <w:rsid w:val="0018542A"/>
    <w:rsid w:val="00186472"/>
    <w:rsid w:val="00192301"/>
    <w:rsid w:val="00193A16"/>
    <w:rsid w:val="00193C46"/>
    <w:rsid w:val="00193FAE"/>
    <w:rsid w:val="0019421F"/>
    <w:rsid w:val="00194709"/>
    <w:rsid w:val="00194CD0"/>
    <w:rsid w:val="00194D5C"/>
    <w:rsid w:val="00196062"/>
    <w:rsid w:val="001B09DC"/>
    <w:rsid w:val="001B1D35"/>
    <w:rsid w:val="001B3843"/>
    <w:rsid w:val="001B42E3"/>
    <w:rsid w:val="001B49C9"/>
    <w:rsid w:val="001C23F4"/>
    <w:rsid w:val="001C3AB3"/>
    <w:rsid w:val="001C4F79"/>
    <w:rsid w:val="001C5234"/>
    <w:rsid w:val="001D2334"/>
    <w:rsid w:val="001D750A"/>
    <w:rsid w:val="001E0388"/>
    <w:rsid w:val="001E354F"/>
    <w:rsid w:val="001E65B6"/>
    <w:rsid w:val="001F168B"/>
    <w:rsid w:val="001F3B4B"/>
    <w:rsid w:val="001F7831"/>
    <w:rsid w:val="00201932"/>
    <w:rsid w:val="00204045"/>
    <w:rsid w:val="0020712B"/>
    <w:rsid w:val="00207992"/>
    <w:rsid w:val="00211DE2"/>
    <w:rsid w:val="00214D6A"/>
    <w:rsid w:val="00215D42"/>
    <w:rsid w:val="002236E6"/>
    <w:rsid w:val="00224905"/>
    <w:rsid w:val="00225463"/>
    <w:rsid w:val="0022606D"/>
    <w:rsid w:val="00227621"/>
    <w:rsid w:val="002303AE"/>
    <w:rsid w:val="00231728"/>
    <w:rsid w:val="002343A1"/>
    <w:rsid w:val="00236BE9"/>
    <w:rsid w:val="002378F8"/>
    <w:rsid w:val="00240BB9"/>
    <w:rsid w:val="002417D0"/>
    <w:rsid w:val="00244A05"/>
    <w:rsid w:val="002458B7"/>
    <w:rsid w:val="00245F5C"/>
    <w:rsid w:val="00250404"/>
    <w:rsid w:val="00256B74"/>
    <w:rsid w:val="00257400"/>
    <w:rsid w:val="002610D8"/>
    <w:rsid w:val="002706F8"/>
    <w:rsid w:val="00271F08"/>
    <w:rsid w:val="00272F51"/>
    <w:rsid w:val="00273AFE"/>
    <w:rsid w:val="002747EC"/>
    <w:rsid w:val="00275AFF"/>
    <w:rsid w:val="00280BAF"/>
    <w:rsid w:val="002855BF"/>
    <w:rsid w:val="00287C85"/>
    <w:rsid w:val="002905B7"/>
    <w:rsid w:val="00290A7C"/>
    <w:rsid w:val="00290EA3"/>
    <w:rsid w:val="00290EEB"/>
    <w:rsid w:val="002912E0"/>
    <w:rsid w:val="0029474E"/>
    <w:rsid w:val="00296C65"/>
    <w:rsid w:val="00296DAF"/>
    <w:rsid w:val="002A3738"/>
    <w:rsid w:val="002A50CF"/>
    <w:rsid w:val="002A77A2"/>
    <w:rsid w:val="002A7D2C"/>
    <w:rsid w:val="002B1840"/>
    <w:rsid w:val="002B2988"/>
    <w:rsid w:val="002B7EB9"/>
    <w:rsid w:val="002C64B3"/>
    <w:rsid w:val="002D0E55"/>
    <w:rsid w:val="002D24B7"/>
    <w:rsid w:val="002D5586"/>
    <w:rsid w:val="002D7956"/>
    <w:rsid w:val="002E0BF0"/>
    <w:rsid w:val="002E146F"/>
    <w:rsid w:val="002F0C9C"/>
    <w:rsid w:val="002F0D22"/>
    <w:rsid w:val="002F514D"/>
    <w:rsid w:val="0030481E"/>
    <w:rsid w:val="00311B17"/>
    <w:rsid w:val="003146F4"/>
    <w:rsid w:val="0031643D"/>
    <w:rsid w:val="00316F14"/>
    <w:rsid w:val="003172DC"/>
    <w:rsid w:val="00317AF6"/>
    <w:rsid w:val="00321348"/>
    <w:rsid w:val="00325AE3"/>
    <w:rsid w:val="00326069"/>
    <w:rsid w:val="00331529"/>
    <w:rsid w:val="00334541"/>
    <w:rsid w:val="0034282E"/>
    <w:rsid w:val="00344403"/>
    <w:rsid w:val="00347D03"/>
    <w:rsid w:val="0035462D"/>
    <w:rsid w:val="003561DB"/>
    <w:rsid w:val="00356F1B"/>
    <w:rsid w:val="00361FA9"/>
    <w:rsid w:val="0036344A"/>
    <w:rsid w:val="0036459E"/>
    <w:rsid w:val="00364B41"/>
    <w:rsid w:val="00367ACC"/>
    <w:rsid w:val="003700D0"/>
    <w:rsid w:val="003739DD"/>
    <w:rsid w:val="00377FD5"/>
    <w:rsid w:val="00381E2C"/>
    <w:rsid w:val="0038204D"/>
    <w:rsid w:val="00383096"/>
    <w:rsid w:val="0039346C"/>
    <w:rsid w:val="003A3A9E"/>
    <w:rsid w:val="003A3E9D"/>
    <w:rsid w:val="003A41EF"/>
    <w:rsid w:val="003A515C"/>
    <w:rsid w:val="003A68EF"/>
    <w:rsid w:val="003B40AD"/>
    <w:rsid w:val="003B75AC"/>
    <w:rsid w:val="003B7F09"/>
    <w:rsid w:val="003C011F"/>
    <w:rsid w:val="003C1339"/>
    <w:rsid w:val="003C4E37"/>
    <w:rsid w:val="003C6CE4"/>
    <w:rsid w:val="003C7F31"/>
    <w:rsid w:val="003D0FD0"/>
    <w:rsid w:val="003D1956"/>
    <w:rsid w:val="003D1C39"/>
    <w:rsid w:val="003D4933"/>
    <w:rsid w:val="003D514D"/>
    <w:rsid w:val="003D5435"/>
    <w:rsid w:val="003E16BE"/>
    <w:rsid w:val="003E1A97"/>
    <w:rsid w:val="003E69F9"/>
    <w:rsid w:val="003E771E"/>
    <w:rsid w:val="003F0AA7"/>
    <w:rsid w:val="003F4E28"/>
    <w:rsid w:val="003F5FA9"/>
    <w:rsid w:val="003F76B6"/>
    <w:rsid w:val="003F78FD"/>
    <w:rsid w:val="004006B9"/>
    <w:rsid w:val="004006E8"/>
    <w:rsid w:val="00401855"/>
    <w:rsid w:val="00404BC5"/>
    <w:rsid w:val="00405079"/>
    <w:rsid w:val="004052AE"/>
    <w:rsid w:val="0040646A"/>
    <w:rsid w:val="0040751D"/>
    <w:rsid w:val="00411B38"/>
    <w:rsid w:val="004121D2"/>
    <w:rsid w:val="00420AD1"/>
    <w:rsid w:val="00424D13"/>
    <w:rsid w:val="0042536D"/>
    <w:rsid w:val="0042540D"/>
    <w:rsid w:val="004268F6"/>
    <w:rsid w:val="0043038F"/>
    <w:rsid w:val="00430748"/>
    <w:rsid w:val="004350BF"/>
    <w:rsid w:val="0044052B"/>
    <w:rsid w:val="00440D4B"/>
    <w:rsid w:val="00441570"/>
    <w:rsid w:val="00446C3A"/>
    <w:rsid w:val="0045065B"/>
    <w:rsid w:val="004558BF"/>
    <w:rsid w:val="00462D0F"/>
    <w:rsid w:val="0046494C"/>
    <w:rsid w:val="00465587"/>
    <w:rsid w:val="00470C53"/>
    <w:rsid w:val="00470E4A"/>
    <w:rsid w:val="00477455"/>
    <w:rsid w:val="00483597"/>
    <w:rsid w:val="00484996"/>
    <w:rsid w:val="00485B5B"/>
    <w:rsid w:val="00490A0E"/>
    <w:rsid w:val="00490BA7"/>
    <w:rsid w:val="004922B5"/>
    <w:rsid w:val="00493D15"/>
    <w:rsid w:val="00495273"/>
    <w:rsid w:val="004A1F7B"/>
    <w:rsid w:val="004A401E"/>
    <w:rsid w:val="004B3857"/>
    <w:rsid w:val="004C08CC"/>
    <w:rsid w:val="004C3640"/>
    <w:rsid w:val="004C3E82"/>
    <w:rsid w:val="004C44D2"/>
    <w:rsid w:val="004D0BB9"/>
    <w:rsid w:val="004D0C1C"/>
    <w:rsid w:val="004D1EC1"/>
    <w:rsid w:val="004D3578"/>
    <w:rsid w:val="004D380D"/>
    <w:rsid w:val="004D4537"/>
    <w:rsid w:val="004D5983"/>
    <w:rsid w:val="004D7AFB"/>
    <w:rsid w:val="004E1C7E"/>
    <w:rsid w:val="004E213A"/>
    <w:rsid w:val="004E7553"/>
    <w:rsid w:val="004F01C6"/>
    <w:rsid w:val="004F1B27"/>
    <w:rsid w:val="004F4540"/>
    <w:rsid w:val="004F73A7"/>
    <w:rsid w:val="004F7ED9"/>
    <w:rsid w:val="00503171"/>
    <w:rsid w:val="00505066"/>
    <w:rsid w:val="00505CB9"/>
    <w:rsid w:val="00506C28"/>
    <w:rsid w:val="00513F96"/>
    <w:rsid w:val="0051610E"/>
    <w:rsid w:val="00516A0F"/>
    <w:rsid w:val="0051718C"/>
    <w:rsid w:val="0052429F"/>
    <w:rsid w:val="0052479C"/>
    <w:rsid w:val="00527F02"/>
    <w:rsid w:val="0053025D"/>
    <w:rsid w:val="00531EC4"/>
    <w:rsid w:val="00532B63"/>
    <w:rsid w:val="00534DA0"/>
    <w:rsid w:val="0053677B"/>
    <w:rsid w:val="00537809"/>
    <w:rsid w:val="00541354"/>
    <w:rsid w:val="005424DE"/>
    <w:rsid w:val="005432D9"/>
    <w:rsid w:val="00543E6C"/>
    <w:rsid w:val="0054491E"/>
    <w:rsid w:val="00545A6B"/>
    <w:rsid w:val="0054783B"/>
    <w:rsid w:val="00551255"/>
    <w:rsid w:val="005519EE"/>
    <w:rsid w:val="005539A8"/>
    <w:rsid w:val="0055657A"/>
    <w:rsid w:val="00560AD7"/>
    <w:rsid w:val="00561B2E"/>
    <w:rsid w:val="00561BF8"/>
    <w:rsid w:val="00565087"/>
    <w:rsid w:val="0056573F"/>
    <w:rsid w:val="00571279"/>
    <w:rsid w:val="0057156F"/>
    <w:rsid w:val="00575FC5"/>
    <w:rsid w:val="00577785"/>
    <w:rsid w:val="00577E4D"/>
    <w:rsid w:val="00580675"/>
    <w:rsid w:val="00582C43"/>
    <w:rsid w:val="0058750E"/>
    <w:rsid w:val="00594A8C"/>
    <w:rsid w:val="0059621E"/>
    <w:rsid w:val="005A1129"/>
    <w:rsid w:val="005A13AB"/>
    <w:rsid w:val="005A3B1B"/>
    <w:rsid w:val="005A49C6"/>
    <w:rsid w:val="005B0E4C"/>
    <w:rsid w:val="005B229E"/>
    <w:rsid w:val="005B2B3E"/>
    <w:rsid w:val="005B3169"/>
    <w:rsid w:val="005B4423"/>
    <w:rsid w:val="005C0C9A"/>
    <w:rsid w:val="005C1DB6"/>
    <w:rsid w:val="005C33D3"/>
    <w:rsid w:val="005C766E"/>
    <w:rsid w:val="005C7CD5"/>
    <w:rsid w:val="005D1934"/>
    <w:rsid w:val="005D4614"/>
    <w:rsid w:val="005D47A0"/>
    <w:rsid w:val="005D47CB"/>
    <w:rsid w:val="005D6BAB"/>
    <w:rsid w:val="005E2EE5"/>
    <w:rsid w:val="005E2EF2"/>
    <w:rsid w:val="005E4036"/>
    <w:rsid w:val="005E5184"/>
    <w:rsid w:val="005E5FB1"/>
    <w:rsid w:val="005E7385"/>
    <w:rsid w:val="005F052B"/>
    <w:rsid w:val="005F0E6C"/>
    <w:rsid w:val="005F26FE"/>
    <w:rsid w:val="005F275C"/>
    <w:rsid w:val="005F5804"/>
    <w:rsid w:val="006017FD"/>
    <w:rsid w:val="006018EF"/>
    <w:rsid w:val="00606351"/>
    <w:rsid w:val="00607ED0"/>
    <w:rsid w:val="00610965"/>
    <w:rsid w:val="00611091"/>
    <w:rsid w:val="00611566"/>
    <w:rsid w:val="00612935"/>
    <w:rsid w:val="00622F9F"/>
    <w:rsid w:val="00625894"/>
    <w:rsid w:val="00626827"/>
    <w:rsid w:val="00626A51"/>
    <w:rsid w:val="0062762E"/>
    <w:rsid w:val="006323A6"/>
    <w:rsid w:val="00640BE7"/>
    <w:rsid w:val="00640CFD"/>
    <w:rsid w:val="00642598"/>
    <w:rsid w:val="006435CE"/>
    <w:rsid w:val="00644C77"/>
    <w:rsid w:val="0064519F"/>
    <w:rsid w:val="0064528D"/>
    <w:rsid w:val="00646D99"/>
    <w:rsid w:val="00650D68"/>
    <w:rsid w:val="0065220E"/>
    <w:rsid w:val="006548BF"/>
    <w:rsid w:val="00656910"/>
    <w:rsid w:val="006574C0"/>
    <w:rsid w:val="00660BAC"/>
    <w:rsid w:val="0066145F"/>
    <w:rsid w:val="00663418"/>
    <w:rsid w:val="0066730D"/>
    <w:rsid w:val="00676DF9"/>
    <w:rsid w:val="006820FD"/>
    <w:rsid w:val="00685033"/>
    <w:rsid w:val="00686224"/>
    <w:rsid w:val="00691173"/>
    <w:rsid w:val="00691AF4"/>
    <w:rsid w:val="00693619"/>
    <w:rsid w:val="00694738"/>
    <w:rsid w:val="00696794"/>
    <w:rsid w:val="00696821"/>
    <w:rsid w:val="00697381"/>
    <w:rsid w:val="00697FFB"/>
    <w:rsid w:val="006A39A7"/>
    <w:rsid w:val="006A4B99"/>
    <w:rsid w:val="006A5229"/>
    <w:rsid w:val="006B0818"/>
    <w:rsid w:val="006B31CD"/>
    <w:rsid w:val="006B7C1F"/>
    <w:rsid w:val="006B7DF2"/>
    <w:rsid w:val="006C66D8"/>
    <w:rsid w:val="006D1787"/>
    <w:rsid w:val="006D1E24"/>
    <w:rsid w:val="006D2FFD"/>
    <w:rsid w:val="006D307B"/>
    <w:rsid w:val="006D35AD"/>
    <w:rsid w:val="006D35DE"/>
    <w:rsid w:val="006D4A1B"/>
    <w:rsid w:val="006D7CA2"/>
    <w:rsid w:val="006E00E0"/>
    <w:rsid w:val="006E0152"/>
    <w:rsid w:val="006E1057"/>
    <w:rsid w:val="006E1417"/>
    <w:rsid w:val="006E1F58"/>
    <w:rsid w:val="006E379C"/>
    <w:rsid w:val="006E3884"/>
    <w:rsid w:val="006E42F8"/>
    <w:rsid w:val="006E6AEE"/>
    <w:rsid w:val="006F5F0F"/>
    <w:rsid w:val="006F6A2C"/>
    <w:rsid w:val="006F6A66"/>
    <w:rsid w:val="007005C5"/>
    <w:rsid w:val="00701781"/>
    <w:rsid w:val="007041B8"/>
    <w:rsid w:val="007054EB"/>
    <w:rsid w:val="007069DC"/>
    <w:rsid w:val="00707410"/>
    <w:rsid w:val="00710201"/>
    <w:rsid w:val="00710A07"/>
    <w:rsid w:val="00712048"/>
    <w:rsid w:val="00714060"/>
    <w:rsid w:val="00715941"/>
    <w:rsid w:val="00717297"/>
    <w:rsid w:val="0072073A"/>
    <w:rsid w:val="0072196E"/>
    <w:rsid w:val="00723625"/>
    <w:rsid w:val="00723B23"/>
    <w:rsid w:val="007320F8"/>
    <w:rsid w:val="00732C8E"/>
    <w:rsid w:val="007342B5"/>
    <w:rsid w:val="00734A5B"/>
    <w:rsid w:val="0073531A"/>
    <w:rsid w:val="00735FE8"/>
    <w:rsid w:val="007370DA"/>
    <w:rsid w:val="00737EB9"/>
    <w:rsid w:val="00741B9D"/>
    <w:rsid w:val="0074418F"/>
    <w:rsid w:val="0074420E"/>
    <w:rsid w:val="00744E76"/>
    <w:rsid w:val="00750E61"/>
    <w:rsid w:val="007526EC"/>
    <w:rsid w:val="00755B25"/>
    <w:rsid w:val="007569D2"/>
    <w:rsid w:val="00757D40"/>
    <w:rsid w:val="007618D4"/>
    <w:rsid w:val="00764017"/>
    <w:rsid w:val="00765CD9"/>
    <w:rsid w:val="007662B5"/>
    <w:rsid w:val="00766A02"/>
    <w:rsid w:val="00767002"/>
    <w:rsid w:val="00770A70"/>
    <w:rsid w:val="007712F9"/>
    <w:rsid w:val="00773C08"/>
    <w:rsid w:val="00774067"/>
    <w:rsid w:val="007746C3"/>
    <w:rsid w:val="00775DAD"/>
    <w:rsid w:val="00781F0F"/>
    <w:rsid w:val="00783AF2"/>
    <w:rsid w:val="00784B07"/>
    <w:rsid w:val="0078727C"/>
    <w:rsid w:val="007872B9"/>
    <w:rsid w:val="0079049D"/>
    <w:rsid w:val="00793766"/>
    <w:rsid w:val="00793DC5"/>
    <w:rsid w:val="0079508B"/>
    <w:rsid w:val="00796823"/>
    <w:rsid w:val="007A05A8"/>
    <w:rsid w:val="007A2E55"/>
    <w:rsid w:val="007A4A3C"/>
    <w:rsid w:val="007A5021"/>
    <w:rsid w:val="007B18D8"/>
    <w:rsid w:val="007B24C4"/>
    <w:rsid w:val="007B46C9"/>
    <w:rsid w:val="007C0182"/>
    <w:rsid w:val="007C07E3"/>
    <w:rsid w:val="007C095F"/>
    <w:rsid w:val="007C2DD0"/>
    <w:rsid w:val="007C501A"/>
    <w:rsid w:val="007D076B"/>
    <w:rsid w:val="007D1130"/>
    <w:rsid w:val="007D191D"/>
    <w:rsid w:val="007D1F55"/>
    <w:rsid w:val="007E6890"/>
    <w:rsid w:val="007E68CD"/>
    <w:rsid w:val="007E7DB7"/>
    <w:rsid w:val="007F221D"/>
    <w:rsid w:val="007F2E08"/>
    <w:rsid w:val="007F697B"/>
    <w:rsid w:val="008024FA"/>
    <w:rsid w:val="008028A4"/>
    <w:rsid w:val="008034A1"/>
    <w:rsid w:val="008054A5"/>
    <w:rsid w:val="00805978"/>
    <w:rsid w:val="00811EA7"/>
    <w:rsid w:val="008125A0"/>
    <w:rsid w:val="00813245"/>
    <w:rsid w:val="008138FF"/>
    <w:rsid w:val="00813C81"/>
    <w:rsid w:val="00814573"/>
    <w:rsid w:val="0081472F"/>
    <w:rsid w:val="0082367D"/>
    <w:rsid w:val="008258CC"/>
    <w:rsid w:val="00826CEE"/>
    <w:rsid w:val="00826D8A"/>
    <w:rsid w:val="00826F27"/>
    <w:rsid w:val="0083542D"/>
    <w:rsid w:val="00835F3D"/>
    <w:rsid w:val="00840DE0"/>
    <w:rsid w:val="0084294C"/>
    <w:rsid w:val="00842EF3"/>
    <w:rsid w:val="00843919"/>
    <w:rsid w:val="00843A9C"/>
    <w:rsid w:val="00844EE5"/>
    <w:rsid w:val="008454FB"/>
    <w:rsid w:val="00847CD0"/>
    <w:rsid w:val="0085186B"/>
    <w:rsid w:val="00852639"/>
    <w:rsid w:val="00855429"/>
    <w:rsid w:val="00856E28"/>
    <w:rsid w:val="008607A8"/>
    <w:rsid w:val="008631BD"/>
    <w:rsid w:val="0086354A"/>
    <w:rsid w:val="008646C7"/>
    <w:rsid w:val="008711EA"/>
    <w:rsid w:val="008768CA"/>
    <w:rsid w:val="008778F2"/>
    <w:rsid w:val="00877EF9"/>
    <w:rsid w:val="00880559"/>
    <w:rsid w:val="00880EAE"/>
    <w:rsid w:val="00881CEB"/>
    <w:rsid w:val="00887530"/>
    <w:rsid w:val="008904AD"/>
    <w:rsid w:val="00891DC7"/>
    <w:rsid w:val="008A1478"/>
    <w:rsid w:val="008A2D64"/>
    <w:rsid w:val="008B5306"/>
    <w:rsid w:val="008B54E8"/>
    <w:rsid w:val="008C0580"/>
    <w:rsid w:val="008C0DEC"/>
    <w:rsid w:val="008C2E2A"/>
    <w:rsid w:val="008C3057"/>
    <w:rsid w:val="008C4D6F"/>
    <w:rsid w:val="008D12F3"/>
    <w:rsid w:val="008D1594"/>
    <w:rsid w:val="008D1E18"/>
    <w:rsid w:val="008D2C2C"/>
    <w:rsid w:val="008D2E4D"/>
    <w:rsid w:val="008D4614"/>
    <w:rsid w:val="008D5762"/>
    <w:rsid w:val="008D6D53"/>
    <w:rsid w:val="008E07F8"/>
    <w:rsid w:val="008E325E"/>
    <w:rsid w:val="008E358D"/>
    <w:rsid w:val="008E629C"/>
    <w:rsid w:val="008E63F2"/>
    <w:rsid w:val="008F2D7F"/>
    <w:rsid w:val="008F2DFD"/>
    <w:rsid w:val="008F396F"/>
    <w:rsid w:val="008F3DCD"/>
    <w:rsid w:val="008F685D"/>
    <w:rsid w:val="009009BC"/>
    <w:rsid w:val="0090271F"/>
    <w:rsid w:val="00902DB9"/>
    <w:rsid w:val="0090466A"/>
    <w:rsid w:val="00905712"/>
    <w:rsid w:val="00905E5A"/>
    <w:rsid w:val="00911D1F"/>
    <w:rsid w:val="0092291F"/>
    <w:rsid w:val="00923655"/>
    <w:rsid w:val="009248C6"/>
    <w:rsid w:val="0093277B"/>
    <w:rsid w:val="009330FB"/>
    <w:rsid w:val="009339CB"/>
    <w:rsid w:val="00935825"/>
    <w:rsid w:val="00935C8A"/>
    <w:rsid w:val="00936071"/>
    <w:rsid w:val="009368E6"/>
    <w:rsid w:val="0093705B"/>
    <w:rsid w:val="009376CD"/>
    <w:rsid w:val="00940212"/>
    <w:rsid w:val="00942EC2"/>
    <w:rsid w:val="009467C1"/>
    <w:rsid w:val="00950037"/>
    <w:rsid w:val="00951580"/>
    <w:rsid w:val="00952910"/>
    <w:rsid w:val="00952BEA"/>
    <w:rsid w:val="0095597C"/>
    <w:rsid w:val="009566C1"/>
    <w:rsid w:val="00956BCC"/>
    <w:rsid w:val="00961B32"/>
    <w:rsid w:val="00962509"/>
    <w:rsid w:val="0096250F"/>
    <w:rsid w:val="0096658C"/>
    <w:rsid w:val="00966709"/>
    <w:rsid w:val="00966C17"/>
    <w:rsid w:val="00967FBB"/>
    <w:rsid w:val="00970064"/>
    <w:rsid w:val="00970DB3"/>
    <w:rsid w:val="0097135E"/>
    <w:rsid w:val="00972E54"/>
    <w:rsid w:val="00973D8F"/>
    <w:rsid w:val="00974BB0"/>
    <w:rsid w:val="0097534A"/>
    <w:rsid w:val="00975BCD"/>
    <w:rsid w:val="009818A2"/>
    <w:rsid w:val="009836B0"/>
    <w:rsid w:val="00984808"/>
    <w:rsid w:val="0099099F"/>
    <w:rsid w:val="009909AB"/>
    <w:rsid w:val="00991762"/>
    <w:rsid w:val="009928A9"/>
    <w:rsid w:val="009962D2"/>
    <w:rsid w:val="00996FCA"/>
    <w:rsid w:val="00997CA0"/>
    <w:rsid w:val="009A0AF3"/>
    <w:rsid w:val="009A6980"/>
    <w:rsid w:val="009B07CD"/>
    <w:rsid w:val="009B1B54"/>
    <w:rsid w:val="009B6E63"/>
    <w:rsid w:val="009C19E9"/>
    <w:rsid w:val="009D10A8"/>
    <w:rsid w:val="009D1B92"/>
    <w:rsid w:val="009D1CFE"/>
    <w:rsid w:val="009D63A1"/>
    <w:rsid w:val="009D74A6"/>
    <w:rsid w:val="009E0E87"/>
    <w:rsid w:val="009E425D"/>
    <w:rsid w:val="009F703B"/>
    <w:rsid w:val="009F7805"/>
    <w:rsid w:val="00A01790"/>
    <w:rsid w:val="00A0402C"/>
    <w:rsid w:val="00A10F02"/>
    <w:rsid w:val="00A11097"/>
    <w:rsid w:val="00A17176"/>
    <w:rsid w:val="00A17EAD"/>
    <w:rsid w:val="00A204CA"/>
    <w:rsid w:val="00A209D6"/>
    <w:rsid w:val="00A22738"/>
    <w:rsid w:val="00A23918"/>
    <w:rsid w:val="00A2572C"/>
    <w:rsid w:val="00A27729"/>
    <w:rsid w:val="00A31DCC"/>
    <w:rsid w:val="00A31E49"/>
    <w:rsid w:val="00A31EA2"/>
    <w:rsid w:val="00A320DA"/>
    <w:rsid w:val="00A36F5F"/>
    <w:rsid w:val="00A3710D"/>
    <w:rsid w:val="00A430EC"/>
    <w:rsid w:val="00A50056"/>
    <w:rsid w:val="00A50718"/>
    <w:rsid w:val="00A50C08"/>
    <w:rsid w:val="00A51D60"/>
    <w:rsid w:val="00A51D90"/>
    <w:rsid w:val="00A52483"/>
    <w:rsid w:val="00A53724"/>
    <w:rsid w:val="00A54B2B"/>
    <w:rsid w:val="00A55EDE"/>
    <w:rsid w:val="00A6170C"/>
    <w:rsid w:val="00A62BC9"/>
    <w:rsid w:val="00A703B6"/>
    <w:rsid w:val="00A70CE1"/>
    <w:rsid w:val="00A73935"/>
    <w:rsid w:val="00A753EB"/>
    <w:rsid w:val="00A778F8"/>
    <w:rsid w:val="00A807F5"/>
    <w:rsid w:val="00A81AFB"/>
    <w:rsid w:val="00A82346"/>
    <w:rsid w:val="00A843EF"/>
    <w:rsid w:val="00A861D5"/>
    <w:rsid w:val="00A90698"/>
    <w:rsid w:val="00A910AD"/>
    <w:rsid w:val="00A922B4"/>
    <w:rsid w:val="00A9671C"/>
    <w:rsid w:val="00AA1553"/>
    <w:rsid w:val="00AB2CFA"/>
    <w:rsid w:val="00AB42BB"/>
    <w:rsid w:val="00AB6CEC"/>
    <w:rsid w:val="00AC33D7"/>
    <w:rsid w:val="00AC392D"/>
    <w:rsid w:val="00AC56DD"/>
    <w:rsid w:val="00AC5DDC"/>
    <w:rsid w:val="00AD25AE"/>
    <w:rsid w:val="00AD608B"/>
    <w:rsid w:val="00AD62D3"/>
    <w:rsid w:val="00AD7E23"/>
    <w:rsid w:val="00AD7E7C"/>
    <w:rsid w:val="00AE0E32"/>
    <w:rsid w:val="00AE3105"/>
    <w:rsid w:val="00AE7D3A"/>
    <w:rsid w:val="00AF3DA8"/>
    <w:rsid w:val="00AF49BE"/>
    <w:rsid w:val="00B01EAC"/>
    <w:rsid w:val="00B04A40"/>
    <w:rsid w:val="00B05380"/>
    <w:rsid w:val="00B05962"/>
    <w:rsid w:val="00B127D9"/>
    <w:rsid w:val="00B12BB2"/>
    <w:rsid w:val="00B1346D"/>
    <w:rsid w:val="00B15449"/>
    <w:rsid w:val="00B167E4"/>
    <w:rsid w:val="00B16C2F"/>
    <w:rsid w:val="00B16D68"/>
    <w:rsid w:val="00B17850"/>
    <w:rsid w:val="00B24F8B"/>
    <w:rsid w:val="00B27303"/>
    <w:rsid w:val="00B27965"/>
    <w:rsid w:val="00B31EE4"/>
    <w:rsid w:val="00B3351B"/>
    <w:rsid w:val="00B37717"/>
    <w:rsid w:val="00B37D9E"/>
    <w:rsid w:val="00B47FD1"/>
    <w:rsid w:val="00B516BB"/>
    <w:rsid w:val="00B51DEF"/>
    <w:rsid w:val="00B53A30"/>
    <w:rsid w:val="00B54A9C"/>
    <w:rsid w:val="00B54FBA"/>
    <w:rsid w:val="00B5751D"/>
    <w:rsid w:val="00B602B8"/>
    <w:rsid w:val="00B61FA7"/>
    <w:rsid w:val="00B62A60"/>
    <w:rsid w:val="00B669E9"/>
    <w:rsid w:val="00B70081"/>
    <w:rsid w:val="00B7538C"/>
    <w:rsid w:val="00B75D6E"/>
    <w:rsid w:val="00B76C27"/>
    <w:rsid w:val="00B80781"/>
    <w:rsid w:val="00B80D03"/>
    <w:rsid w:val="00B819EE"/>
    <w:rsid w:val="00B82F8C"/>
    <w:rsid w:val="00B843DC"/>
    <w:rsid w:val="00B84BB9"/>
    <w:rsid w:val="00B84DB2"/>
    <w:rsid w:val="00B855A9"/>
    <w:rsid w:val="00B85937"/>
    <w:rsid w:val="00B87A6C"/>
    <w:rsid w:val="00B91906"/>
    <w:rsid w:val="00B94E9E"/>
    <w:rsid w:val="00B967B7"/>
    <w:rsid w:val="00B97035"/>
    <w:rsid w:val="00BA27B7"/>
    <w:rsid w:val="00BA289F"/>
    <w:rsid w:val="00BA4CF8"/>
    <w:rsid w:val="00BB2384"/>
    <w:rsid w:val="00BB2DE4"/>
    <w:rsid w:val="00BB6A4E"/>
    <w:rsid w:val="00BC23B6"/>
    <w:rsid w:val="00BC3555"/>
    <w:rsid w:val="00BC5B2E"/>
    <w:rsid w:val="00BC69BE"/>
    <w:rsid w:val="00BC6E74"/>
    <w:rsid w:val="00BC7A87"/>
    <w:rsid w:val="00BD0B8D"/>
    <w:rsid w:val="00BD7160"/>
    <w:rsid w:val="00BD7B35"/>
    <w:rsid w:val="00BE057F"/>
    <w:rsid w:val="00BE075A"/>
    <w:rsid w:val="00BE2332"/>
    <w:rsid w:val="00BE5297"/>
    <w:rsid w:val="00BF2EE7"/>
    <w:rsid w:val="00BF4DD4"/>
    <w:rsid w:val="00BF4EB8"/>
    <w:rsid w:val="00BF6A6E"/>
    <w:rsid w:val="00BF7AD3"/>
    <w:rsid w:val="00C00932"/>
    <w:rsid w:val="00C01052"/>
    <w:rsid w:val="00C01286"/>
    <w:rsid w:val="00C0321C"/>
    <w:rsid w:val="00C04382"/>
    <w:rsid w:val="00C05DE1"/>
    <w:rsid w:val="00C07094"/>
    <w:rsid w:val="00C10AED"/>
    <w:rsid w:val="00C12B51"/>
    <w:rsid w:val="00C12BCD"/>
    <w:rsid w:val="00C15191"/>
    <w:rsid w:val="00C15920"/>
    <w:rsid w:val="00C228A3"/>
    <w:rsid w:val="00C24650"/>
    <w:rsid w:val="00C25465"/>
    <w:rsid w:val="00C2628E"/>
    <w:rsid w:val="00C30013"/>
    <w:rsid w:val="00C31806"/>
    <w:rsid w:val="00C33079"/>
    <w:rsid w:val="00C3346E"/>
    <w:rsid w:val="00C362BE"/>
    <w:rsid w:val="00C40D84"/>
    <w:rsid w:val="00C43338"/>
    <w:rsid w:val="00C441A4"/>
    <w:rsid w:val="00C44F8D"/>
    <w:rsid w:val="00C55A12"/>
    <w:rsid w:val="00C566E5"/>
    <w:rsid w:val="00C6010D"/>
    <w:rsid w:val="00C60565"/>
    <w:rsid w:val="00C61EA9"/>
    <w:rsid w:val="00C6553E"/>
    <w:rsid w:val="00C70BCE"/>
    <w:rsid w:val="00C80B75"/>
    <w:rsid w:val="00C8220A"/>
    <w:rsid w:val="00C82AC3"/>
    <w:rsid w:val="00C83A13"/>
    <w:rsid w:val="00C86F10"/>
    <w:rsid w:val="00C9068C"/>
    <w:rsid w:val="00C92967"/>
    <w:rsid w:val="00CA02C6"/>
    <w:rsid w:val="00CA3D0C"/>
    <w:rsid w:val="00CA654B"/>
    <w:rsid w:val="00CA7CBB"/>
    <w:rsid w:val="00CB119E"/>
    <w:rsid w:val="00CB3138"/>
    <w:rsid w:val="00CB3CE7"/>
    <w:rsid w:val="00CB72B8"/>
    <w:rsid w:val="00CB73FD"/>
    <w:rsid w:val="00CB7550"/>
    <w:rsid w:val="00CB78FC"/>
    <w:rsid w:val="00CC2AB3"/>
    <w:rsid w:val="00CC36FF"/>
    <w:rsid w:val="00CC4BBF"/>
    <w:rsid w:val="00CD0A4F"/>
    <w:rsid w:val="00CD0BA8"/>
    <w:rsid w:val="00CD1655"/>
    <w:rsid w:val="00CD4C7B"/>
    <w:rsid w:val="00CD58FE"/>
    <w:rsid w:val="00CD66E8"/>
    <w:rsid w:val="00CE67AD"/>
    <w:rsid w:val="00CF5018"/>
    <w:rsid w:val="00CF62DE"/>
    <w:rsid w:val="00D045F8"/>
    <w:rsid w:val="00D04A4A"/>
    <w:rsid w:val="00D04F5D"/>
    <w:rsid w:val="00D05E2B"/>
    <w:rsid w:val="00D11BA2"/>
    <w:rsid w:val="00D203B1"/>
    <w:rsid w:val="00D20456"/>
    <w:rsid w:val="00D25D4E"/>
    <w:rsid w:val="00D33569"/>
    <w:rsid w:val="00D33BE3"/>
    <w:rsid w:val="00D36185"/>
    <w:rsid w:val="00D36D9E"/>
    <w:rsid w:val="00D37044"/>
    <w:rsid w:val="00D3792D"/>
    <w:rsid w:val="00D406C6"/>
    <w:rsid w:val="00D47F87"/>
    <w:rsid w:val="00D524EB"/>
    <w:rsid w:val="00D54820"/>
    <w:rsid w:val="00D5591A"/>
    <w:rsid w:val="00D55E47"/>
    <w:rsid w:val="00D57977"/>
    <w:rsid w:val="00D61654"/>
    <w:rsid w:val="00D62031"/>
    <w:rsid w:val="00D62E19"/>
    <w:rsid w:val="00D63E3E"/>
    <w:rsid w:val="00D64651"/>
    <w:rsid w:val="00D6578A"/>
    <w:rsid w:val="00D65F19"/>
    <w:rsid w:val="00D67CD1"/>
    <w:rsid w:val="00D7054F"/>
    <w:rsid w:val="00D70CCF"/>
    <w:rsid w:val="00D71E16"/>
    <w:rsid w:val="00D738D6"/>
    <w:rsid w:val="00D80795"/>
    <w:rsid w:val="00D825EE"/>
    <w:rsid w:val="00D854BE"/>
    <w:rsid w:val="00D87E00"/>
    <w:rsid w:val="00D9134D"/>
    <w:rsid w:val="00D9197E"/>
    <w:rsid w:val="00D93171"/>
    <w:rsid w:val="00D934B3"/>
    <w:rsid w:val="00D93541"/>
    <w:rsid w:val="00D95417"/>
    <w:rsid w:val="00D9577D"/>
    <w:rsid w:val="00D9617A"/>
    <w:rsid w:val="00D96D11"/>
    <w:rsid w:val="00DA557A"/>
    <w:rsid w:val="00DA7A03"/>
    <w:rsid w:val="00DB0DB8"/>
    <w:rsid w:val="00DB16EB"/>
    <w:rsid w:val="00DB1818"/>
    <w:rsid w:val="00DC309B"/>
    <w:rsid w:val="00DC3256"/>
    <w:rsid w:val="00DC4232"/>
    <w:rsid w:val="00DC4DA2"/>
    <w:rsid w:val="00DC5261"/>
    <w:rsid w:val="00DC663B"/>
    <w:rsid w:val="00DD62D2"/>
    <w:rsid w:val="00DD6454"/>
    <w:rsid w:val="00DD78D3"/>
    <w:rsid w:val="00DE1D41"/>
    <w:rsid w:val="00DE25D2"/>
    <w:rsid w:val="00DE6E85"/>
    <w:rsid w:val="00DF1085"/>
    <w:rsid w:val="00DF1748"/>
    <w:rsid w:val="00DF2507"/>
    <w:rsid w:val="00DF5C6C"/>
    <w:rsid w:val="00DF7B18"/>
    <w:rsid w:val="00DF7C20"/>
    <w:rsid w:val="00E0179E"/>
    <w:rsid w:val="00E038FB"/>
    <w:rsid w:val="00E0561D"/>
    <w:rsid w:val="00E07D19"/>
    <w:rsid w:val="00E17761"/>
    <w:rsid w:val="00E2733F"/>
    <w:rsid w:val="00E27CBD"/>
    <w:rsid w:val="00E344B2"/>
    <w:rsid w:val="00E354B5"/>
    <w:rsid w:val="00E43AB4"/>
    <w:rsid w:val="00E43C71"/>
    <w:rsid w:val="00E4582A"/>
    <w:rsid w:val="00E46C08"/>
    <w:rsid w:val="00E471CF"/>
    <w:rsid w:val="00E62835"/>
    <w:rsid w:val="00E6471C"/>
    <w:rsid w:val="00E6480E"/>
    <w:rsid w:val="00E6605A"/>
    <w:rsid w:val="00E668DB"/>
    <w:rsid w:val="00E7371E"/>
    <w:rsid w:val="00E76293"/>
    <w:rsid w:val="00E77645"/>
    <w:rsid w:val="00E83697"/>
    <w:rsid w:val="00E84C38"/>
    <w:rsid w:val="00E84E4E"/>
    <w:rsid w:val="00E859B6"/>
    <w:rsid w:val="00E90434"/>
    <w:rsid w:val="00E9109E"/>
    <w:rsid w:val="00E91A33"/>
    <w:rsid w:val="00E937F4"/>
    <w:rsid w:val="00E93EC3"/>
    <w:rsid w:val="00EA3592"/>
    <w:rsid w:val="00EA5E6F"/>
    <w:rsid w:val="00EA66C9"/>
    <w:rsid w:val="00EA7117"/>
    <w:rsid w:val="00EB0A39"/>
    <w:rsid w:val="00EB1B4F"/>
    <w:rsid w:val="00EB3F9A"/>
    <w:rsid w:val="00EB5D32"/>
    <w:rsid w:val="00EC1C75"/>
    <w:rsid w:val="00EC3D60"/>
    <w:rsid w:val="00EC4A25"/>
    <w:rsid w:val="00EC67E1"/>
    <w:rsid w:val="00EC6D10"/>
    <w:rsid w:val="00ED0D4A"/>
    <w:rsid w:val="00ED1752"/>
    <w:rsid w:val="00ED18DA"/>
    <w:rsid w:val="00ED2501"/>
    <w:rsid w:val="00ED3656"/>
    <w:rsid w:val="00ED3687"/>
    <w:rsid w:val="00ED3D17"/>
    <w:rsid w:val="00ED5141"/>
    <w:rsid w:val="00ED7247"/>
    <w:rsid w:val="00ED7F4F"/>
    <w:rsid w:val="00EE5776"/>
    <w:rsid w:val="00EF612C"/>
    <w:rsid w:val="00F01C5C"/>
    <w:rsid w:val="00F02051"/>
    <w:rsid w:val="00F025A2"/>
    <w:rsid w:val="00F036E9"/>
    <w:rsid w:val="00F07388"/>
    <w:rsid w:val="00F1005D"/>
    <w:rsid w:val="00F10764"/>
    <w:rsid w:val="00F129DF"/>
    <w:rsid w:val="00F177B5"/>
    <w:rsid w:val="00F2026E"/>
    <w:rsid w:val="00F20324"/>
    <w:rsid w:val="00F21442"/>
    <w:rsid w:val="00F2210A"/>
    <w:rsid w:val="00F230F6"/>
    <w:rsid w:val="00F23C1E"/>
    <w:rsid w:val="00F2604F"/>
    <w:rsid w:val="00F2730D"/>
    <w:rsid w:val="00F31372"/>
    <w:rsid w:val="00F35C01"/>
    <w:rsid w:val="00F360E4"/>
    <w:rsid w:val="00F37743"/>
    <w:rsid w:val="00F408DE"/>
    <w:rsid w:val="00F40C2F"/>
    <w:rsid w:val="00F42493"/>
    <w:rsid w:val="00F43592"/>
    <w:rsid w:val="00F51143"/>
    <w:rsid w:val="00F54A3D"/>
    <w:rsid w:val="00F54CB0"/>
    <w:rsid w:val="00F579CD"/>
    <w:rsid w:val="00F60AF4"/>
    <w:rsid w:val="00F60E63"/>
    <w:rsid w:val="00F610FF"/>
    <w:rsid w:val="00F63108"/>
    <w:rsid w:val="00F653B8"/>
    <w:rsid w:val="00F65B88"/>
    <w:rsid w:val="00F67C1A"/>
    <w:rsid w:val="00F71B89"/>
    <w:rsid w:val="00F73447"/>
    <w:rsid w:val="00F7353C"/>
    <w:rsid w:val="00F73748"/>
    <w:rsid w:val="00F76F8F"/>
    <w:rsid w:val="00F83697"/>
    <w:rsid w:val="00F83EEE"/>
    <w:rsid w:val="00F84DD8"/>
    <w:rsid w:val="00F87048"/>
    <w:rsid w:val="00F87257"/>
    <w:rsid w:val="00F941DF"/>
    <w:rsid w:val="00F962E6"/>
    <w:rsid w:val="00FA0268"/>
    <w:rsid w:val="00FA1266"/>
    <w:rsid w:val="00FA1A9A"/>
    <w:rsid w:val="00FA1BC5"/>
    <w:rsid w:val="00FA2D26"/>
    <w:rsid w:val="00FA717F"/>
    <w:rsid w:val="00FB36FA"/>
    <w:rsid w:val="00FB63AD"/>
    <w:rsid w:val="00FB6423"/>
    <w:rsid w:val="00FB699C"/>
    <w:rsid w:val="00FC0A49"/>
    <w:rsid w:val="00FC1192"/>
    <w:rsid w:val="00FC18F2"/>
    <w:rsid w:val="00FC27A2"/>
    <w:rsid w:val="00FC41C1"/>
    <w:rsid w:val="00FC5710"/>
    <w:rsid w:val="00FD0838"/>
    <w:rsid w:val="00FD0E70"/>
    <w:rsid w:val="00FD780C"/>
    <w:rsid w:val="00FE106D"/>
    <w:rsid w:val="00FE1379"/>
    <w:rsid w:val="00FE1A74"/>
    <w:rsid w:val="00FE251B"/>
    <w:rsid w:val="00FE2E35"/>
    <w:rsid w:val="00FE4D50"/>
    <w:rsid w:val="00FE7D47"/>
    <w:rsid w:val="088DE064"/>
    <w:rsid w:val="125DA311"/>
    <w:rsid w:val="53132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68FB5C1-7A18-45AA-A3C4-9A5095248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itle">
    <w:name w:val="Doc-title"/>
    <w:basedOn w:val="Normal"/>
    <w:next w:val="Doc-text2"/>
    <w:link w:val="Doc-titleChar"/>
    <w:qFormat/>
    <w:rsid w:val="00527F0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27F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27F02"/>
    <w:rPr>
      <w:rFonts w:ascii="Arial" w:eastAsia="MS Mincho" w:hAnsi="Arial"/>
      <w:szCs w:val="24"/>
    </w:rPr>
  </w:style>
  <w:style w:type="character" w:customStyle="1" w:styleId="Doc-titleChar">
    <w:name w:val="Doc-title Char"/>
    <w:link w:val="Doc-title"/>
    <w:qFormat/>
    <w:rsid w:val="00527F02"/>
    <w:rPr>
      <w:rFonts w:ascii="Arial" w:eastAsia="MS Mincho" w:hAnsi="Arial"/>
      <w:noProof/>
      <w:szCs w:val="24"/>
    </w:rPr>
  </w:style>
  <w:style w:type="paragraph" w:customStyle="1" w:styleId="Agreement">
    <w:name w:val="Agreement"/>
    <w:basedOn w:val="Normal"/>
    <w:next w:val="Doc-text2"/>
    <w:qFormat/>
    <w:rsid w:val="00527F02"/>
    <w:pPr>
      <w:numPr>
        <w:numId w:val="31"/>
      </w:numPr>
      <w:spacing w:before="60" w:after="0"/>
    </w:pPr>
    <w:rPr>
      <w:rFonts w:ascii="Arial" w:eastAsia="MS Mincho" w:hAnsi="Arial"/>
      <w:b/>
      <w:szCs w:val="24"/>
      <w:lang w:eastAsia="en-GB"/>
    </w:rPr>
  </w:style>
  <w:style w:type="character" w:customStyle="1" w:styleId="TALCar">
    <w:name w:val="TAL Car"/>
    <w:link w:val="TAL"/>
    <w:qFormat/>
    <w:rsid w:val="00826F27"/>
    <w:rPr>
      <w:rFonts w:ascii="Arial" w:hAnsi="Arial"/>
      <w:sz w:val="18"/>
      <w:lang w:eastAsia="en-US"/>
    </w:rPr>
  </w:style>
  <w:style w:type="character" w:customStyle="1" w:styleId="TAHCar">
    <w:name w:val="TAH Car"/>
    <w:link w:val="TAH"/>
    <w:qFormat/>
    <w:locked/>
    <w:rsid w:val="00826F27"/>
    <w:rPr>
      <w:rFonts w:ascii="Arial" w:hAnsi="Arial"/>
      <w:b/>
      <w:sz w:val="18"/>
      <w:lang w:eastAsia="en-US"/>
    </w:rPr>
  </w:style>
  <w:style w:type="character" w:styleId="FollowedHyperlink">
    <w:name w:val="FollowedHyperlink"/>
    <w:basedOn w:val="DefaultParagraphFont"/>
    <w:rsid w:val="0012657C"/>
    <w:rPr>
      <w:color w:val="954F72" w:themeColor="followedHyperlink"/>
      <w:u w:val="single"/>
    </w:rPr>
  </w:style>
  <w:style w:type="character" w:customStyle="1" w:styleId="B1Char1">
    <w:name w:val="B1 Char1"/>
    <w:qFormat/>
    <w:rsid w:val="004121D2"/>
    <w:rPr>
      <w:lang w:eastAsia="en-US"/>
    </w:rPr>
  </w:style>
  <w:style w:type="character" w:customStyle="1" w:styleId="B2Char">
    <w:name w:val="B2 Char"/>
    <w:link w:val="B2"/>
    <w:qFormat/>
    <w:rsid w:val="004121D2"/>
    <w:rPr>
      <w:lang w:eastAsia="en-US"/>
    </w:rPr>
  </w:style>
  <w:style w:type="character" w:customStyle="1" w:styleId="B3Char2">
    <w:name w:val="B3 Char2"/>
    <w:link w:val="B3"/>
    <w:qFormat/>
    <w:rsid w:val="004121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RBI5PAMIO524-1616901215-36940</_dlc_DocId>
    <_dlc_DocIdUrl xmlns="71c5aaf6-e6ce-465b-b873-5148d2a4c105">
      <Url>https://nokia.sharepoint.com/sites/gxp/_layouts/15/DocIdRedir.aspx?ID=RBI5PAMIO524-1616901215-36940</Url>
      <Description>RBI5PAMIO524-1616901215-36940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6.xml><?xml version="1.0" encoding="utf-8"?>
<ds:datastoreItem xmlns:ds="http://schemas.openxmlformats.org/officeDocument/2006/customXml" ds:itemID="{53A457E8-4F61-47E4-93BA-7626EEA26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4162</TotalTime>
  <Pages>4</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10461</CharactersWithSpaces>
  <SharedDoc>false</SharedDoc>
  <HyperlinkBase/>
  <HLinks>
    <vt:vector size="6" baseType="variant">
      <vt:variant>
        <vt:i4>1245231</vt:i4>
      </vt:variant>
      <vt:variant>
        <vt:i4>15</vt:i4>
      </vt:variant>
      <vt:variant>
        <vt:i4>0</vt:i4>
      </vt:variant>
      <vt:variant>
        <vt:i4>5</vt:i4>
      </vt:variant>
      <vt:variant>
        <vt:lpwstr>https://www.3gpp.org/ftp/tsg_ran/WG2_RL2/TSGR2_127bis/Docs/R2-2408012.zip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693</cp:revision>
  <dcterms:created xsi:type="dcterms:W3CDTF">2016-08-14T16:53:00Z</dcterms:created>
  <dcterms:modified xsi:type="dcterms:W3CDTF">2025-02-06T16:13:00Z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7d2b3486-25a8-4a88-b65e-e16d8b45e023</vt:lpwstr>
  </property>
</Properties>
</file>